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spacing w:after="120"/>
        <w:jc w:val="center"/>
      </w:pPr>
      <w:r>
        <w:rPr>
          <w:rFonts w:ascii="Noto Serif SC" w:cs="Noto Serif SC" w:eastAsia="Noto Serif SC" w:hAnsi="Noto Serif SC"/>
          <w:color w:val="9c5a3c"/>
          <w:sz w:val="28"/>
          <w:szCs w:val="28"/>
        </w:rPr>
        <w:t xml:space="preserve">General Education Lecture</w:t>
      </w:r>
    </w:p>
    <w:p>
      <w:pPr>
        <w:spacing w:after="80"/>
        <w:jc w:val="center"/>
      </w:pPr>
      <w:r>
        <w:rPr>
          <w:rFonts w:ascii="Noto Serif SC" w:cs="Noto Serif SC" w:eastAsia="Noto Serif SC" w:hAnsi="Noto Serif SC"/>
          <w:b/>
          <w:bCs/>
          <w:color w:val="1b1410"/>
          <w:sz w:val="60"/>
          <w:szCs w:val="60"/>
        </w:rPr>
        <w:t xml:space="preserve">Dunhuang Art — An In-Depth Lecture</w:t>
      </w:r>
    </w:p>
    <w:p>
      <w:pPr>
        <w:spacing w:after="600"/>
        <w:jc w:val="center"/>
      </w:pPr>
      <w:r>
        <w:rPr>
          <w:rFonts w:ascii="Noto Serif SC" w:cs="Noto Serif SC" w:eastAsia="Noto Serif SC" w:hAnsi="Noto Serif SC"/>
          <w:color w:val="8a7330"/>
          <w:sz w:val="24"/>
          <w:szCs w:val="24"/>
        </w:rPr>
        <w:t xml:space="preserve">Dunhuang Art &amp; the Silk Road Civilization</w:t>
      </w:r>
    </w:p>
    <w:p>
      <w:pPr>
        <w:jc w:val="center"/>
      </w:pPr>
      <w:r>
        <w:drawing>
          <wp:inline distT="0" distB="0" distL="0" distR="0">
            <wp:extent cx="4000500" cy="2247900"/>
            <wp:effectExtent t="0" r="0" b="0" l="0"/>
            <wp:docPr id="1" name="cover" descr="Mogao cliff and caravan" title="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000500" cy="2247900"/>
                    </a:xfrm>
                    <a:prstGeom prst="rect">
                      <a:avLst/>
                    </a:prstGeom>
                  </pic:spPr>
                </pic:pic>
              </a:graphicData>
            </a:graphic>
          </wp:inline>
        </w:drawing>
      </w:r>
    </w:p>
    <w:p>
      <w:pPr>
        <w:spacing w:before="600"/>
        <w:jc w:val="center"/>
      </w:pPr>
      <w:r>
        <w:rPr>
          <w:rFonts w:ascii="Noto Serif SC" w:cs="Noto Serif SC" w:eastAsia="Noto Serif SC" w:hAnsi="Noto Serif SC"/>
          <w:color w:val="8a7330"/>
          <w:sz w:val="20"/>
          <w:szCs w:val="20"/>
        </w:rPr>
        <w:t xml:space="preserve">Dark Gold · Azurite · Ochre   |   For University General Education</w:t>
      </w:r>
    </w:p>
    <w:p>
      <w:r>
        <w:br w:type="page"/>
      </w:r>
    </w:p>
    <w:p>
      <w:pPr>
        <w:pStyle w:val="Heading1"/>
        <w:spacing w:after="200" w:before="360"/>
      </w:pPr>
      <w:r>
        <w:rPr>
          <w:rFonts w:ascii="Noto Serif SC" w:cs="Noto Serif SC" w:eastAsia="Noto Serif SC" w:hAnsi="Noto Serif SC"/>
          <w:b/>
          <w:bCs/>
          <w:color w:val="9c5a3c"/>
          <w:sz w:val="36"/>
          <w:szCs w:val="36"/>
        </w:rPr>
        <w:t xml:space="preserve">Contents</w:t>
      </w:r>
    </w:p>
    <w:p>
      <w:pPr>
        <w:spacing w:after="160" w:line="360"/>
      </w:pPr>
      <w:r>
        <w:rPr>
          <w:rFonts w:ascii="Noto Serif SC" w:cs="Noto Serif SC" w:eastAsia="Noto Serif SC" w:hAnsi="Noto Serif SC"/>
        </w:rPr>
        <w:t xml:space="preserve">This lecture is arranged along a time axis of eight eras, corresponding to the Chapters and Chapter-Detail pages of the course portal. It is best studied alongside the AI voice narration and HD mural details.</w:t>
      </w:r>
    </w:p>
    <w:p>
      <w:pPr>
        <w:spacing w:after="80"/>
      </w:pPr>
      <w:r>
        <w:rPr>
          <w:rFonts w:ascii="Noto Serif SC" w:cs="Noto Serif SC" w:eastAsia="Noto Serif SC" w:hAnsi="Noto Serif SC"/>
          <w:b/>
          <w:bCs/>
          <w:color w:val="5a4a30"/>
          <w:sz w:val="24"/>
          <w:szCs w:val="24"/>
        </w:rPr>
        <w:t xml:space="preserve">Introduction   Why Dunhuang Matters</w:t>
      </w:r>
    </w:p>
    <w:p>
      <w:pPr>
        <w:spacing w:after="80"/>
      </w:pPr>
      <w:r>
        <w:rPr>
          <w:rFonts w:ascii="Noto Serif SC" w:cs="Noto Serif SC" w:eastAsia="Noto Serif SC" w:hAnsi="Noto Serif SC"/>
          <w:color w:val="3a2a18"/>
          <w:sz w:val="24"/>
          <w:szCs w:val="24"/>
        </w:rPr>
        <w:t xml:space="preserve">Chapter I   Zhang Qian's Mission   (Western Han · 138–126 BCE)</w:t>
      </w:r>
    </w:p>
    <w:p>
      <w:pPr>
        <w:spacing w:after="80"/>
      </w:pPr>
      <w:r>
        <w:rPr>
          <w:rFonts w:ascii="Noto Serif SC" w:cs="Noto Serif SC" w:eastAsia="Noto Serif SC" w:hAnsi="Noto Serif SC"/>
          <w:color w:val="3a2a18"/>
          <w:sz w:val="24"/>
          <w:szCs w:val="24"/>
        </w:rPr>
        <w:t xml:space="preserve">Chapter II   Wei-Jin Grottoes   (Wei-Jin &amp; Sixteen Kingdoms · 3rd–5th c.)</w:t>
      </w:r>
    </w:p>
    <w:p>
      <w:pPr>
        <w:spacing w:after="80"/>
      </w:pPr>
      <w:r>
        <w:rPr>
          <w:rFonts w:ascii="Noto Serif SC" w:cs="Noto Serif SC" w:eastAsia="Noto Serif SC" w:hAnsi="Noto Serif SC"/>
          <w:color w:val="3a2a18"/>
          <w:sz w:val="24"/>
          <w:szCs w:val="24"/>
        </w:rPr>
        <w:t xml:space="preserve">Chapter III   High Tang Sutra-Tableaux   (High Tang · 7th–8th c.)</w:t>
      </w:r>
    </w:p>
    <w:p>
      <w:pPr>
        <w:spacing w:after="80"/>
      </w:pPr>
      <w:r>
        <w:rPr>
          <w:rFonts w:ascii="Noto Serif SC" w:cs="Noto Serif SC" w:eastAsia="Noto Serif SC" w:hAnsi="Noto Serif SC"/>
          <w:color w:val="3a2a18"/>
          <w:sz w:val="24"/>
          <w:szCs w:val="24"/>
        </w:rPr>
        <w:t xml:space="preserve">Chapter IV   Five Dynasties Donors   (Five Dynasties &amp; Song · 10th–11th c.)</w:t>
      </w:r>
    </w:p>
    <w:p>
      <w:pPr>
        <w:spacing w:after="80"/>
      </w:pPr>
      <w:r>
        <w:rPr>
          <w:rFonts w:ascii="Noto Serif SC" w:cs="Noto Serif SC" w:eastAsia="Noto Serif SC" w:hAnsi="Noto Serif SC"/>
          <w:color w:val="3a2a18"/>
          <w:sz w:val="24"/>
          <w:szCs w:val="24"/>
        </w:rPr>
        <w:t xml:space="preserve">Chapter V   Western Xia &amp; Yuan-Mongol   (Western Xia &amp; Yuan-Mongol · 11th–14th c.)</w:t>
      </w:r>
    </w:p>
    <w:p>
      <w:pPr>
        <w:spacing w:after="80"/>
      </w:pPr>
      <w:r>
        <w:rPr>
          <w:rFonts w:ascii="Noto Serif SC" w:cs="Noto Serif SC" w:eastAsia="Noto Serif SC" w:hAnsi="Noto Serif SC"/>
          <w:color w:val="3a2a18"/>
          <w:sz w:val="24"/>
          <w:szCs w:val="24"/>
        </w:rPr>
        <w:t xml:space="preserve">Chapter VI   The Library Cave   (Early Northern Song · early 11th c.)</w:t>
      </w:r>
    </w:p>
    <w:p>
      <w:pPr>
        <w:spacing w:after="80"/>
      </w:pPr>
      <w:r>
        <w:rPr>
          <w:rFonts w:ascii="Noto Serif SC" w:cs="Noto Serif SC" w:eastAsia="Noto Serif SC" w:hAnsi="Noto Serif SC"/>
          <w:color w:val="3a2a18"/>
          <w:sz w:val="24"/>
          <w:szCs w:val="24"/>
        </w:rPr>
        <w:t xml:space="preserve">Chapter VII   Modern Dispersal   (Modern · 1900–1944)</w:t>
      </w:r>
    </w:p>
    <w:p>
      <w:pPr>
        <w:spacing w:after="80"/>
      </w:pPr>
      <w:r>
        <w:rPr>
          <w:rFonts w:ascii="Noto Serif SC" w:cs="Noto Serif SC" w:eastAsia="Noto Serif SC" w:hAnsi="Noto Serif SC"/>
          <w:color w:val="3a2a18"/>
          <w:sz w:val="24"/>
          <w:szCs w:val="24"/>
        </w:rPr>
        <w:t xml:space="preserve">Chapter VIII   Contemporary Digitization   (Contemporary · 1944–present)</w:t>
      </w:r>
    </w:p>
    <w:p>
      <w:pPr>
        <w:spacing w:after="80"/>
      </w:pPr>
      <w:r>
        <w:rPr>
          <w:rFonts w:ascii="Noto Serif SC" w:cs="Noto Serif SC" w:eastAsia="Noto Serif SC" w:hAnsi="Noto Serif SC"/>
          <w:b/>
          <w:bCs/>
          <w:color w:val="5a4a30"/>
          <w:sz w:val="24"/>
          <w:szCs w:val="24"/>
        </w:rPr>
        <w:t xml:space="preserve">Conclusion   From Stewardship to Immortality</w:t>
      </w:r>
    </w:p>
    <w:p>
      <w:r>
        <w:br w:type="page"/>
      </w:r>
    </w:p>
    <w:p>
      <w:pPr>
        <w:pStyle w:val="Heading1"/>
        <w:spacing w:after="200" w:before="360"/>
      </w:pPr>
      <w:r>
        <w:rPr>
          <w:rFonts w:ascii="Noto Serif SC" w:cs="Noto Serif SC" w:eastAsia="Noto Serif SC" w:hAnsi="Noto Serif SC"/>
          <w:b/>
          <w:bCs/>
          <w:color w:val="9c5a3c"/>
          <w:sz w:val="36"/>
          <w:szCs w:val="36"/>
        </w:rPr>
        <w:t xml:space="preserve">Introduction   Why Dunhuang Matters</w:t>
      </w:r>
    </w:p>
    <w:p>
      <w:pPr>
        <w:spacing w:after="160" w:line="360"/>
      </w:pPr>
      <w:r>
        <w:rPr>
          <w:rFonts w:ascii="Noto Serif SC" w:cs="Noto Serif SC" w:eastAsia="Noto Serif SC" w:hAnsi="Noto Serif SC"/>
        </w:rPr>
        <w:t xml:space="preserve">Deep in the heart of Eurasia, the snowmelt of the Qilian Mountains nourishes an oasis called Dunhuang. For over two thousand years it has been at once a frontier of swords and shields and a thoroughfare of civilizations. In the second century BCE, the camels of Zhang Qian trod near here, tracing an artery across the continent; in the fourth century CE, a monk named Le Zun carved the first cave at the eastern foot of Mingsha Mountain, launching a cave-making movement that would last a thousand years.</w:t>
      </w:r>
    </w:p>
    <w:p>
      <w:pPr>
        <w:spacing w:after="160" w:line="360"/>
      </w:pPr>
      <w:r>
        <w:rPr>
          <w:rFonts w:ascii="Noto Serif SC" w:cs="Noto Serif SC" w:eastAsia="Noto Serif SC" w:hAnsi="Noto Serif SC"/>
        </w:rPr>
        <w:t xml:space="preserve">Mogao today holds 735 caves, 45,000 square meters of murals, and 2,415 painted statues — the largest and richest treasury of Buddhist art in the world. In 1987 it was inscribed on the World Heritage List. What makes Dunhuang great is not only its scale but its nature as a living specimen of layered civilizations — Han and non-Han, Buddhist and Daoist, Central Plains and Western Regions, manuscript and print, protection and dispersal, the physical and the digital — all leaving tangible, legible traces.</w:t>
      </w:r>
    </w:p>
    <w:p>
      <w:pPr>
        <w:spacing w:after="200" w:before="120"/>
        <w:ind w:left="480" w:right="480"/>
      </w:pPr>
      <w:r>
        <w:rPr>
          <w:rFonts w:ascii="Noto Serif SC" w:cs="Noto Serif SC" w:eastAsia="Noto Serif SC" w:hAnsi="Noto Serif SC"/>
          <w:i/>
          <w:iCs/>
          <w:color w:val="6b5a3a"/>
          <w:sz w:val="22"/>
          <w:szCs w:val="22"/>
        </w:rPr>
        <w:t xml:space="preserve">"In the colors of sand and gold, retrace an artery of civilization."</w:t>
      </w:r>
    </w:p>
    <w:p>
      <w:pPr>
        <w:spacing w:after="160" w:line="360"/>
      </w:pPr>
      <w:r>
        <w:rPr>
          <w:rFonts w:ascii="Noto Serif SC" w:cs="Noto Serif SC" w:eastAsia="Noto Serif SC" w:hAnsi="Noto Serif SC"/>
        </w:rPr>
        <w:t xml:space="preserve">This lecture takes eight eras as its warp and color, form, figures, and institutions as its weft, striving to give the reader — within a two-hour general-education reading — a basic map of knowledge and an aesthetic feel for Dunhuang art and the Silk Road civilization.</w:t>
      </w:r>
    </w:p>
    <w:p>
      <w:r>
        <w:br w:type="page"/>
      </w:r>
    </w:p>
    <w:p>
      <w:pPr>
        <w:pStyle w:val="Heading1"/>
        <w:spacing w:after="200" w:before="360"/>
      </w:pPr>
      <w:r>
        <w:rPr>
          <w:rFonts w:ascii="Noto Serif SC" w:cs="Noto Serif SC" w:eastAsia="Noto Serif SC" w:hAnsi="Noto Serif SC"/>
          <w:b/>
          <w:bCs/>
          <w:color w:val="9c5a3c"/>
          <w:sz w:val="36"/>
          <w:szCs w:val="36"/>
        </w:rPr>
        <w:t xml:space="preserve">Chapter I   Zhang Qian's Mission</w:t>
      </w:r>
    </w:p>
    <w:p>
      <w:pPr>
        <w:spacing w:after="200"/>
      </w:pPr>
      <w:r>
        <w:rPr>
          <w:rFonts w:ascii="Noto Serif SC" w:cs="Noto Serif SC" w:eastAsia="Noto Serif SC" w:hAnsi="Noto Serif SC"/>
          <w:b/>
          <w:bCs/>
          <w:color w:val="9c5a3c"/>
          <w:sz w:val="24"/>
          <w:szCs w:val="24"/>
        </w:rPr>
        <w:t xml:space="preserve">Western Han · 138–126 BCE   ·   Bridging the West, Opening the Silk Road</w:t>
      </w:r>
    </w:p>
    <w:p>
      <w:pPr>
        <w:pStyle w:val="Heading2"/>
        <w:spacing w:after="140" w:before="260"/>
      </w:pPr>
      <w:r>
        <w:rPr>
          <w:rFonts w:ascii="Noto Serif SC" w:cs="Noto Serif SC" w:eastAsia="Noto Serif SC" w:hAnsi="Noto Serif SC"/>
          <w:b/>
          <w:bCs/>
          <w:color w:val="5a4a30"/>
          <w:sz w:val="28"/>
          <w:szCs w:val="28"/>
        </w:rPr>
        <w:t xml:space="preserve">Overview</w:t>
      </w:r>
    </w:p>
    <w:p>
      <w:pPr>
        <w:spacing w:after="160" w:line="360"/>
      </w:pPr>
      <w:r>
        <w:rPr>
          <w:rFonts w:ascii="Noto Serif SC" w:cs="Noto Serif SC" w:eastAsia="Noto Serif SC" w:hAnsi="Noto Serif SC"/>
        </w:rPr>
        <w:t xml:space="preserve">Emperor Wu of Han dispatched Zhang Qian westward twice, hoping to ally with the Yuezhi against the Xiongnu. Though the military aim failed, his camel hooves traced a corridor of civilization across Eurasia — history calls it "the Piercing."</w:t>
      </w:r>
    </w:p>
    <w:p>
      <w:pPr>
        <w:pStyle w:val="Heading2"/>
        <w:spacing w:after="140" w:before="260"/>
      </w:pPr>
      <w:r>
        <w:rPr>
          <w:rFonts w:ascii="Noto Serif SC" w:cs="Noto Serif SC" w:eastAsia="Noto Serif SC" w:hAnsi="Noto Serif SC"/>
          <w:b/>
          <w:bCs/>
          <w:color w:val="5a4a30"/>
          <w:sz w:val="28"/>
          <w:szCs w:val="28"/>
        </w:rPr>
        <w:t xml:space="preserve">The Act of Piercing</w:t>
      </w:r>
    </w:p>
    <w:p>
      <w:pPr>
        <w:spacing w:after="160" w:line="360"/>
      </w:pPr>
      <w:r>
        <w:rPr>
          <w:rFonts w:ascii="Noto Serif SC" w:cs="Noto Serif SC" w:eastAsia="Noto Serif SC" w:hAnsi="Noto Serif SC"/>
        </w:rPr>
        <w:t xml:space="preserve">In 138 BCE, Emperor Wu sent the official Zhang Qian west from Chang'an with over a hundred men, seeking the Great Yuezhi — recently driven off by the Xiongnu — to form a pincer attack. The journey lasted thirteen years; he was twice detained by the Xiongnu yet finally reached the Yuezhi, Dawan (Ferghana), and Kangju. The Yuezhi, content in their new pastures, had no taste for revenge; but Zhang Qian brought back the Central Plains' first systematic knowledge of the thirty-six kingdoms of the Western Regions.</w:t>
      </w:r>
    </w:p>
    <w:p>
      <w:pPr>
        <w:pStyle w:val="Heading2"/>
        <w:spacing w:after="140" w:before="260"/>
      </w:pPr>
      <w:r>
        <w:rPr>
          <w:rFonts w:ascii="Noto Serif SC" w:cs="Noto Serif SC" w:eastAsia="Noto Serif SC" w:hAnsi="Noto Serif SC"/>
          <w:b/>
          <w:bCs/>
          <w:color w:val="5a4a30"/>
          <w:sz w:val="28"/>
          <w:szCs w:val="28"/>
        </w:rPr>
        <w:t xml:space="preserve">The Geographic Foundations of the Road</w:t>
      </w:r>
    </w:p>
    <w:p>
      <w:pPr>
        <w:spacing w:after="160" w:line="360"/>
      </w:pPr>
      <w:r>
        <w:rPr>
          <w:rFonts w:ascii="Noto Serif SC" w:cs="Noto Serif SC" w:eastAsia="Noto Serif SC" w:hAnsi="Noto Serif SC"/>
        </w:rPr>
        <w:t xml:space="preserve">Zhang Qian's route sketched the skeleton of the future Silk Road: west from Chang'an along the Wei River, over the Long Mountains and through the Hexi Corridor to Dunhuang, then splitting into northern and southern branches around the Taklamakan, converging again west of the Pamirs. In 60 BCE, Emperor Xuan established the Protectorate of the Western Regions at Wulei, drawing the road's eastern stretch into imperial governance and giving merchants institutional safeguard.</w:t>
      </w:r>
    </w:p>
    <w:p>
      <w:pPr>
        <w:pStyle w:val="Heading2"/>
        <w:spacing w:after="140" w:before="260"/>
      </w:pPr>
      <w:r>
        <w:rPr>
          <w:rFonts w:ascii="Noto Serif SC" w:cs="Noto Serif SC" w:eastAsia="Noto Serif SC" w:hAnsi="Noto Serif SC"/>
          <w:b/>
          <w:bCs/>
          <w:color w:val="5a4a30"/>
          <w:sz w:val="28"/>
          <w:szCs w:val="28"/>
        </w:rPr>
        <w:t xml:space="preserve">A Two-Way Flow of Goods and Ideas</w:t>
      </w:r>
    </w:p>
    <w:p>
      <w:pPr>
        <w:spacing w:after="160" w:line="360"/>
      </w:pPr>
      <w:r>
        <w:rPr>
          <w:rFonts w:ascii="Noto Serif SC" w:cs="Noto Serif SC" w:eastAsia="Noto Serif SC" w:hAnsi="Noto Serif SC"/>
        </w:rPr>
        <w:t xml:space="preserve">After the Piercing, grapes, alfalfa, sesame, and Heavenly Horses traveled east to Chang'an, while silk, lacquerware, and cast iron went west to Dawan and beyond. More far-reaching than goods were ideas — Buddhism would travel this very road eastward, and within a few centuries would give birth at Dunhuang to grotto art without peer in the world. The bells of Zhang Qian's camels are, in truth, the prologue to the whole history of Dunhuang and the Silk Road.</w:t>
      </w:r>
    </w:p>
    <w:p>
      <w:pPr>
        <w:pStyle w:val="Heading2"/>
        <w:spacing w:after="140" w:before="260"/>
      </w:pPr>
      <w:r>
        <w:rPr>
          <w:rFonts w:ascii="Noto Serif SC" w:cs="Noto Serif SC" w:eastAsia="Noto Serif SC" w:hAnsi="Noto Serif SC"/>
          <w:b/>
          <w:bCs/>
          <w:color w:val="5a4a30"/>
          <w:sz w:val="28"/>
          <w:szCs w:val="28"/>
        </w:rPr>
        <w:t xml:space="preserve">Key Concepts</w:t>
      </w:r>
    </w:p>
    <w:p>
      <w:pPr>
        <w:pStyle w:val="ListParagraph"/>
        <w:numPr>
          <w:ilvl w:val="0"/>
          <w:numId w:val="2"/>
        </w:numPr>
        <w:spacing w:after="80"/>
      </w:pPr>
      <w:r>
        <w:rPr>
          <w:rFonts w:ascii="Noto Serif SC" w:cs="Noto Serif SC" w:eastAsia="Noto Serif SC" w:hAnsi="Noto Serif SC"/>
          <w:sz w:val="22"/>
          <w:szCs w:val="22"/>
        </w:rPr>
        <w:t xml:space="preserve">The Piercing</w:t>
      </w:r>
    </w:p>
    <w:p>
      <w:pPr>
        <w:pStyle w:val="ListParagraph"/>
        <w:numPr>
          <w:ilvl w:val="0"/>
          <w:numId w:val="2"/>
        </w:numPr>
        <w:spacing w:after="80"/>
      </w:pPr>
      <w:r>
        <w:rPr>
          <w:rFonts w:ascii="Noto Serif SC" w:cs="Noto Serif SC" w:eastAsia="Noto Serif SC" w:hAnsi="Noto Serif SC"/>
          <w:sz w:val="22"/>
          <w:szCs w:val="22"/>
        </w:rPr>
        <w:t xml:space="preserve">Protectorate of the Western Regions</w:t>
      </w:r>
    </w:p>
    <w:p>
      <w:pPr>
        <w:pStyle w:val="ListParagraph"/>
        <w:numPr>
          <w:ilvl w:val="0"/>
          <w:numId w:val="2"/>
        </w:numPr>
        <w:spacing w:after="80"/>
      </w:pPr>
      <w:r>
        <w:rPr>
          <w:rFonts w:ascii="Noto Serif SC" w:cs="Noto Serif SC" w:eastAsia="Noto Serif SC" w:hAnsi="Noto Serif SC"/>
          <w:sz w:val="22"/>
          <w:szCs w:val="22"/>
        </w:rPr>
        <w:t xml:space="preserve">Great Yuezhi</w:t>
      </w:r>
    </w:p>
    <w:p>
      <w:pPr>
        <w:pStyle w:val="ListParagraph"/>
        <w:numPr>
          <w:ilvl w:val="0"/>
          <w:numId w:val="2"/>
        </w:numPr>
        <w:spacing w:after="80"/>
      </w:pPr>
      <w:r>
        <w:rPr>
          <w:rFonts w:ascii="Noto Serif SC" w:cs="Noto Serif SC" w:eastAsia="Noto Serif SC" w:hAnsi="Noto Serif SC"/>
          <w:sz w:val="22"/>
          <w:szCs w:val="22"/>
        </w:rPr>
        <w:t xml:space="preserve">Heavenly Horses</w:t>
      </w:r>
    </w:p>
    <w:p>
      <w:pPr>
        <w:pStyle w:val="ListParagraph"/>
        <w:numPr>
          <w:ilvl w:val="0"/>
          <w:numId w:val="2"/>
        </w:numPr>
        <w:spacing w:after="80"/>
      </w:pPr>
      <w:r>
        <w:rPr>
          <w:rFonts w:ascii="Noto Serif SC" w:cs="Noto Serif SC" w:eastAsia="Noto Serif SC" w:hAnsi="Noto Serif SC"/>
          <w:sz w:val="22"/>
          <w:szCs w:val="22"/>
        </w:rPr>
        <w:t xml:space="preserve">Oases</w:t>
      </w:r>
    </w:p>
    <w:p>
      <w:pPr>
        <w:pStyle w:val="Heading2"/>
        <w:spacing w:after="140" w:before="260"/>
      </w:pPr>
      <w:r>
        <w:rPr>
          <w:rFonts w:ascii="Noto Serif SC" w:cs="Noto Serif SC" w:eastAsia="Noto Serif SC" w:hAnsi="Noto Serif SC"/>
          <w:b/>
          <w:bCs/>
          <w:color w:val="5a4a30"/>
          <w:sz w:val="28"/>
          <w:szCs w:val="28"/>
        </w:rPr>
        <w:t xml:space="preserve">Related Digital Relics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3600"/>
        <w:gridCol w:w="1800"/>
        <w:gridCol w:w="2760"/>
      </w:tblGrid>
      <w:tr>
        <w:trPr>
          <w:tblHeader/>
        </w:trPr>
        <w:tc>
          <w:tcPr>
            <w:tcW w:type="dxa" w:w="120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No.</w:t>
            </w:r>
          </w:p>
        </w:tc>
        <w:tc>
          <w:tcPr>
            <w:tcW w:type="dxa" w:w="360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Name</w:t>
            </w:r>
          </w:p>
        </w:tc>
        <w:tc>
          <w:tcPr>
            <w:tcW w:type="dxa" w:w="180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Dating</w:t>
            </w:r>
          </w:p>
        </w:tc>
        <w:tc>
          <w:tcPr>
            <w:tcW w:type="dxa" w:w="276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Material / Find site</w:t>
            </w:r>
          </w:p>
        </w:tc>
      </w:tr>
      <w:tr>
        <w:tc>
          <w:tcPr>
            <w:tcW w:type="dxa" w:w="12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7</w:t>
            </w:r>
          </w:p>
        </w:tc>
        <w:tc>
          <w:tcPr>
            <w:tcW w:type="dxa" w:w="36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Silk Road Currency Set</w:t>
            </w:r>
          </w:p>
        </w:tc>
        <w:tc>
          <w:tcPr>
            <w:tcW w:type="dxa" w:w="18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Han–Tang</w:t>
            </w:r>
          </w:p>
        </w:tc>
        <w:tc>
          <w:tcPr>
            <w:tcW w:type="dxa" w:w="276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Copper · silver · gold / Dunhuang &amp; along the road</w:t>
            </w:r>
          </w:p>
        </w:tc>
      </w:tr>
      <w:tr>
        <w:tc>
          <w:tcPr>
            <w:tcW w:type="dxa" w:w="12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10</w:t>
            </w:r>
          </w:p>
        </w:tc>
        <w:tc>
          <w:tcPr>
            <w:tcW w:type="dxa" w:w="36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Han Wooden Slip Documents</w:t>
            </w:r>
          </w:p>
        </w:tc>
        <w:tc>
          <w:tcPr>
            <w:tcW w:type="dxa" w:w="18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Han</w:t>
            </w:r>
          </w:p>
        </w:tc>
        <w:tc>
          <w:tcPr>
            <w:tcW w:type="dxa" w:w="276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Wood · ink / Xuanquanzhi, Dunhuang</w:t>
            </w:r>
          </w:p>
        </w:tc>
      </w:tr>
    </w:tbl>
    <w:p>
      <w:pPr>
        <w:spacing w:before="120"/>
      </w:pPr>
      <w:r>
        <w:rPr>
          <w:rFonts w:ascii="Noto Serif SC" w:cs="Noto Serif SC" w:eastAsia="Noto Serif SC" w:hAnsi="Noto Serif SC"/>
          <w:i/>
          <w:iCs/>
          <w:color w:val="8a7330"/>
          <w:sz w:val="18"/>
          <w:szCs w:val="18"/>
        </w:rPr>
        <w:t xml:space="preserve">Narration script: Greetings, students. In this chapter we return more than two… (full narration available on the chapter-detail page)</w:t>
      </w:r>
    </w:p>
    <w:p>
      <w:r>
        <w:br w:type="page"/>
      </w:r>
    </w:p>
    <w:p>
      <w:pPr>
        <w:pStyle w:val="Heading1"/>
        <w:spacing w:after="200" w:before="360"/>
      </w:pPr>
      <w:r>
        <w:rPr>
          <w:rFonts w:ascii="Noto Serif SC" w:cs="Noto Serif SC" w:eastAsia="Noto Serif SC" w:hAnsi="Noto Serif SC"/>
          <w:b/>
          <w:bCs/>
          <w:color w:val="9c5a3c"/>
          <w:sz w:val="36"/>
          <w:szCs w:val="36"/>
        </w:rPr>
        <w:t xml:space="preserve">Chapter II   Wei-Jin Grottoes</w:t>
      </w:r>
    </w:p>
    <w:p>
      <w:pPr>
        <w:spacing w:after="200"/>
      </w:pPr>
      <w:r>
        <w:rPr>
          <w:rFonts w:ascii="Noto Serif SC" w:cs="Noto Serif SC" w:eastAsia="Noto Serif SC" w:hAnsi="Noto Serif SC"/>
          <w:b/>
          <w:bCs/>
          <w:color w:val="9c5a3c"/>
          <w:sz w:val="24"/>
          <w:szCs w:val="24"/>
        </w:rPr>
        <w:t xml:space="preserve">Wei-Jin &amp; Sixteen Kingdoms · 3rd–5th c.   ·   First Light of the Dharma, Mogao Begins</w:t>
      </w:r>
    </w:p>
    <w:p>
      <w:pPr>
        <w:pStyle w:val="Heading2"/>
        <w:spacing w:after="140" w:before="260"/>
      </w:pPr>
      <w:r>
        <w:rPr>
          <w:rFonts w:ascii="Noto Serif SC" w:cs="Noto Serif SC" w:eastAsia="Noto Serif SC" w:hAnsi="Noto Serif SC"/>
          <w:b/>
          <w:bCs/>
          <w:color w:val="5a4a30"/>
          <w:sz w:val="28"/>
          <w:szCs w:val="28"/>
        </w:rPr>
        <w:t xml:space="preserve">Overview</w:t>
      </w:r>
    </w:p>
    <w:p>
      <w:pPr>
        <w:spacing w:after="160" w:line="360"/>
      </w:pPr>
      <w:r>
        <w:rPr>
          <w:rFonts w:ascii="Noto Serif SC" w:cs="Noto Serif SC" w:eastAsia="Noto Serif SC" w:hAnsi="Noto Serif SC"/>
        </w:rPr>
        <w:t xml:space="preserve">In 366 CE, the monk Le Zun carved the first cave at Mogao on the eastern slope of Mingsha Mountain, launching a thousand-year cave-making movement that laid the foundation of Dunhuang art.</w:t>
      </w:r>
    </w:p>
    <w:p>
      <w:pPr>
        <w:pStyle w:val="Heading2"/>
        <w:spacing w:after="140" w:before="260"/>
      </w:pPr>
      <w:r>
        <w:rPr>
          <w:rFonts w:ascii="Noto Serif SC" w:cs="Noto Serif SC" w:eastAsia="Noto Serif SC" w:hAnsi="Noto Serif SC"/>
          <w:b/>
          <w:bCs/>
          <w:color w:val="5a4a30"/>
          <w:sz w:val="28"/>
          <w:szCs w:val="28"/>
        </w:rPr>
        <w:t xml:space="preserve">Legend and History of Le Zun's First Cave</w:t>
      </w:r>
    </w:p>
    <w:p>
      <w:pPr>
        <w:spacing w:after="160" w:line="360"/>
      </w:pPr>
      <w:r>
        <w:rPr>
          <w:rFonts w:ascii="Noto Serif SC" w:cs="Noto Serif SC" w:eastAsia="Noto Serif SC" w:hAnsi="Noto Serif SC"/>
        </w:rPr>
        <w:t xml:space="preserve">According to the stele before Cave 156 at Mogao, in the second year of Jianyuan of the Former Qin (366 CE), the monk Le Zun, wandering past this place, suddenly saw golden light on Mingsha Mountain like a thousand Buddhas, and carved a niche in the rock — the first cave of Mogao. Monks such as Faliang soon followed, and niches thickened along the cliff. Though a later account, it corroborates the early caves archaeology dates to the Sixteen Kingdoms and Northern Liang.</w:t>
      </w:r>
    </w:p>
    <w:p>
      <w:pPr>
        <w:pStyle w:val="Heading2"/>
        <w:spacing w:after="140" w:before="260"/>
      </w:pPr>
      <w:r>
        <w:rPr>
          <w:rFonts w:ascii="Noto Serif SC" w:cs="Noto Serif SC" w:eastAsia="Noto Serif SC" w:hAnsi="Noto Serif SC"/>
          <w:b/>
          <w:bCs/>
          <w:color w:val="5a4a30"/>
          <w:sz w:val="28"/>
          <w:szCs w:val="28"/>
        </w:rPr>
        <w:t xml:space="preserve">Form and Function of the Early Caves</w:t>
      </w:r>
    </w:p>
    <w:p>
      <w:pPr>
        <w:spacing w:after="160" w:line="360"/>
      </w:pPr>
      <w:r>
        <w:rPr>
          <w:rFonts w:ascii="Noto Serif SC" w:cs="Noto Serif SC" w:eastAsia="Noto Serif SC" w:hAnsi="Noto Serif SC"/>
        </w:rPr>
        <w:t xml:space="preserve">Caves of the Wei-Jin to Northern Liang are mostly central-pillar caves — a square pillar stands at the center, allowing circumambulation; the pillar's four faces hold niched images for monastic meditation. Wall paintings center on jataka and buddha-life stories, with strong devotion to Maitreya, reflecting a longing for the Pure Land in troubled times. These early works are plain and forceful, marked by clear Gandharan influence — the key transition as Dunhuang art moved from the Western Regions toward a native idiom.</w:t>
      </w:r>
    </w:p>
    <w:p>
      <w:pPr>
        <w:pStyle w:val="Heading2"/>
        <w:spacing w:after="140" w:before="260"/>
      </w:pPr>
      <w:r>
        <w:rPr>
          <w:rFonts w:ascii="Noto Serif SC" w:cs="Noto Serif SC" w:eastAsia="Noto Serif SC" w:hAnsi="Noto Serif SC"/>
          <w:b/>
          <w:bCs/>
          <w:color w:val="5a4a30"/>
          <w:sz w:val="28"/>
          <w:szCs w:val="28"/>
        </w:rPr>
        <w:t xml:space="preserve">The Source of Color and Brush</w:t>
      </w:r>
    </w:p>
    <w:p>
      <w:pPr>
        <w:spacing w:after="160" w:line="360"/>
      </w:pPr>
      <w:r>
        <w:rPr>
          <w:rFonts w:ascii="Noto Serif SC" w:cs="Noto Serif SC" w:eastAsia="Noto Serif SC" w:hAnsi="Noto Serif SC"/>
        </w:rPr>
        <w:t xml:space="preserve">The pigments of this period are almost entirely natural minerals: azurite, malachite, cinnabar, ochre, and lead oxide, accented with gold leaf. These colors, enduring a millennium without fading, established the visual genome of Dunhuang murals. The coarse Western-style shading and Central Plains line drawing clashed and fused here, quietly preparing the way for the glory of the High Tang.</w:t>
      </w:r>
    </w:p>
    <w:p>
      <w:pPr>
        <w:pStyle w:val="Heading2"/>
        <w:spacing w:after="140" w:before="260"/>
      </w:pPr>
      <w:r>
        <w:rPr>
          <w:rFonts w:ascii="Noto Serif SC" w:cs="Noto Serif SC" w:eastAsia="Noto Serif SC" w:hAnsi="Noto Serif SC"/>
          <w:b/>
          <w:bCs/>
          <w:color w:val="5a4a30"/>
          <w:sz w:val="28"/>
          <w:szCs w:val="28"/>
        </w:rPr>
        <w:t xml:space="preserve">Key Concepts</w:t>
      </w:r>
    </w:p>
    <w:p>
      <w:pPr>
        <w:pStyle w:val="ListParagraph"/>
        <w:numPr>
          <w:ilvl w:val="0"/>
          <w:numId w:val="2"/>
        </w:numPr>
        <w:spacing w:after="80"/>
      </w:pPr>
      <w:r>
        <w:rPr>
          <w:rFonts w:ascii="Noto Serif SC" w:cs="Noto Serif SC" w:eastAsia="Noto Serif SC" w:hAnsi="Noto Serif SC"/>
          <w:sz w:val="22"/>
          <w:szCs w:val="22"/>
        </w:rPr>
        <w:t xml:space="preserve">Le Zun</w:t>
      </w:r>
    </w:p>
    <w:p>
      <w:pPr>
        <w:pStyle w:val="ListParagraph"/>
        <w:numPr>
          <w:ilvl w:val="0"/>
          <w:numId w:val="2"/>
        </w:numPr>
        <w:spacing w:after="80"/>
      </w:pPr>
      <w:r>
        <w:rPr>
          <w:rFonts w:ascii="Noto Serif SC" w:cs="Noto Serif SC" w:eastAsia="Noto Serif SC" w:hAnsi="Noto Serif SC"/>
          <w:sz w:val="22"/>
          <w:szCs w:val="22"/>
        </w:rPr>
        <w:t xml:space="preserve">First Cave of Mogao</w:t>
      </w:r>
    </w:p>
    <w:p>
      <w:pPr>
        <w:pStyle w:val="ListParagraph"/>
        <w:numPr>
          <w:ilvl w:val="0"/>
          <w:numId w:val="2"/>
        </w:numPr>
        <w:spacing w:after="80"/>
      </w:pPr>
      <w:r>
        <w:rPr>
          <w:rFonts w:ascii="Noto Serif SC" w:cs="Noto Serif SC" w:eastAsia="Noto Serif SC" w:hAnsi="Noto Serif SC"/>
          <w:sz w:val="22"/>
          <w:szCs w:val="22"/>
        </w:rPr>
        <w:t xml:space="preserve">Northern Liang</w:t>
      </w:r>
    </w:p>
    <w:p>
      <w:pPr>
        <w:pStyle w:val="ListParagraph"/>
        <w:numPr>
          <w:ilvl w:val="0"/>
          <w:numId w:val="2"/>
        </w:numPr>
        <w:spacing w:after="80"/>
      </w:pPr>
      <w:r>
        <w:rPr>
          <w:rFonts w:ascii="Noto Serif SC" w:cs="Noto Serif SC" w:eastAsia="Noto Serif SC" w:hAnsi="Noto Serif SC"/>
          <w:sz w:val="22"/>
          <w:szCs w:val="22"/>
        </w:rPr>
        <w:t xml:space="preserve">Central-Pillar Cave</w:t>
      </w:r>
    </w:p>
    <w:p>
      <w:pPr>
        <w:pStyle w:val="ListParagraph"/>
        <w:numPr>
          <w:ilvl w:val="0"/>
          <w:numId w:val="2"/>
        </w:numPr>
        <w:spacing w:after="80"/>
      </w:pPr>
      <w:r>
        <w:rPr>
          <w:rFonts w:ascii="Noto Serif SC" w:cs="Noto Serif SC" w:eastAsia="Noto Serif SC" w:hAnsi="Noto Serif SC"/>
          <w:sz w:val="22"/>
          <w:szCs w:val="22"/>
        </w:rPr>
        <w:t xml:space="preserve">Chan Meditation</w:t>
      </w:r>
    </w:p>
    <w:p>
      <w:pPr>
        <w:pStyle w:val="Heading2"/>
        <w:spacing w:after="140" w:before="260"/>
      </w:pPr>
      <w:r>
        <w:rPr>
          <w:rFonts w:ascii="Noto Serif SC" w:cs="Noto Serif SC" w:eastAsia="Noto Serif SC" w:hAnsi="Noto Serif SC"/>
          <w:b/>
          <w:bCs/>
          <w:color w:val="5a4a30"/>
          <w:sz w:val="28"/>
          <w:szCs w:val="28"/>
        </w:rPr>
        <w:t xml:space="preserve">Related Digital Relics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3600"/>
        <w:gridCol w:w="1800"/>
        <w:gridCol w:w="2760"/>
      </w:tblGrid>
      <w:tr>
        <w:trPr>
          <w:tblHeader/>
        </w:trPr>
        <w:tc>
          <w:tcPr>
            <w:tcW w:type="dxa" w:w="120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No.</w:t>
            </w:r>
          </w:p>
        </w:tc>
        <w:tc>
          <w:tcPr>
            <w:tcW w:type="dxa" w:w="360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Name</w:t>
            </w:r>
          </w:p>
        </w:tc>
        <w:tc>
          <w:tcPr>
            <w:tcW w:type="dxa" w:w="180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Dating</w:t>
            </w:r>
          </w:p>
        </w:tc>
        <w:tc>
          <w:tcPr>
            <w:tcW w:type="dxa" w:w="276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Material / Find site</w:t>
            </w:r>
          </w:p>
        </w:tc>
      </w:tr>
      <w:tr>
        <w:tc>
          <w:tcPr>
            <w:tcW w:type="dxa" w:w="12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13</w:t>
            </w:r>
          </w:p>
        </w:tc>
        <w:tc>
          <w:tcPr>
            <w:tcW w:type="dxa" w:w="36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Clay Guardian Warrior Statue</w:t>
            </w:r>
          </w:p>
        </w:tc>
        <w:tc>
          <w:tcPr>
            <w:tcW w:type="dxa" w:w="18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High Tang</w:t>
            </w:r>
          </w:p>
        </w:tc>
        <w:tc>
          <w:tcPr>
            <w:tcW w:type="dxa" w:w="276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Clay / Mogao Cave 46</w:t>
            </w:r>
          </w:p>
        </w:tc>
      </w:tr>
      <w:tr>
        <w:tc>
          <w:tcPr>
            <w:tcW w:type="dxa" w:w="12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33</w:t>
            </w:r>
          </w:p>
        </w:tc>
        <w:tc>
          <w:tcPr>
            <w:tcW w:type="dxa" w:w="36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Sandstone Buddha Head Fragment</w:t>
            </w:r>
          </w:p>
        </w:tc>
        <w:tc>
          <w:tcPr>
            <w:tcW w:type="dxa" w:w="18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Northern Liang</w:t>
            </w:r>
          </w:p>
        </w:tc>
        <w:tc>
          <w:tcPr>
            <w:tcW w:type="dxa" w:w="276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Sandstone / Early Dunhuang caves</w:t>
            </w:r>
          </w:p>
        </w:tc>
      </w:tr>
    </w:tbl>
    <w:p>
      <w:pPr>
        <w:spacing w:before="120"/>
      </w:pPr>
      <w:r>
        <w:rPr>
          <w:rFonts w:ascii="Noto Serif SC" w:cs="Noto Serif SC" w:eastAsia="Noto Serif SC" w:hAnsi="Noto Serif SC"/>
          <w:i/>
          <w:iCs/>
          <w:color w:val="8a7330"/>
          <w:sz w:val="18"/>
          <w:szCs w:val="18"/>
        </w:rPr>
        <w:t xml:space="preserve">Narration script: In 366 CE, the second year of Jianyuan under the Former Qin.… (full narration available on the chapter-detail page)</w:t>
      </w:r>
    </w:p>
    <w:p>
      <w:r>
        <w:br w:type="page"/>
      </w:r>
    </w:p>
    <w:p>
      <w:pPr>
        <w:pStyle w:val="Heading1"/>
        <w:spacing w:after="200" w:before="360"/>
      </w:pPr>
      <w:r>
        <w:rPr>
          <w:rFonts w:ascii="Noto Serif SC" w:cs="Noto Serif SC" w:eastAsia="Noto Serif SC" w:hAnsi="Noto Serif SC"/>
          <w:b/>
          <w:bCs/>
          <w:color w:val="9c5a3c"/>
          <w:sz w:val="36"/>
          <w:szCs w:val="36"/>
        </w:rPr>
        <w:t xml:space="preserve">Chapter III   High Tang Sutra-Tableaux</w:t>
      </w:r>
    </w:p>
    <w:p>
      <w:pPr>
        <w:spacing w:after="200"/>
      </w:pPr>
      <w:r>
        <w:rPr>
          <w:rFonts w:ascii="Noto Serif SC" w:cs="Noto Serif SC" w:eastAsia="Noto Serif SC" w:hAnsi="Noto Serif SC"/>
          <w:b/>
          <w:bCs/>
          <w:color w:val="9c5a3c"/>
          <w:sz w:val="24"/>
          <w:szCs w:val="24"/>
        </w:rPr>
        <w:t xml:space="preserve">High Tang · 7th–8th c.   ·   Sounds of Splendor Fill the Pure Land</w:t>
      </w:r>
    </w:p>
    <w:p>
      <w:pPr>
        <w:pStyle w:val="Heading2"/>
        <w:spacing w:after="140" w:before="260"/>
      </w:pPr>
      <w:r>
        <w:rPr>
          <w:rFonts w:ascii="Noto Serif SC" w:cs="Noto Serif SC" w:eastAsia="Noto Serif SC" w:hAnsi="Noto Serif SC"/>
          <w:b/>
          <w:bCs/>
          <w:color w:val="5a4a30"/>
          <w:sz w:val="28"/>
          <w:szCs w:val="28"/>
        </w:rPr>
        <w:t xml:space="preserve">Overview</w:t>
      </w:r>
    </w:p>
    <w:p>
      <w:pPr>
        <w:spacing w:after="160" w:line="360"/>
      </w:pPr>
      <w:r>
        <w:rPr>
          <w:rFonts w:ascii="Noto Serif SC" w:cs="Noto Serif SC" w:eastAsia="Noto Serif SC" w:hAnsi="Noto Serif SC"/>
        </w:rPr>
        <w:t xml:space="preserve">At the height of Tang power, Mogao enters its golden age. Sutra-tableaux replace story paintings at scale, depicting Pure Lands in sweeping compositions — flying apsaras, music and dance, pavilions and lotus ponds, of boundless grandeur.</w:t>
      </w:r>
    </w:p>
    <w:p>
      <w:pPr>
        <w:pStyle w:val="Heading2"/>
        <w:spacing w:after="140" w:before="260"/>
      </w:pPr>
      <w:r>
        <w:rPr>
          <w:rFonts w:ascii="Noto Serif SC" w:cs="Noto Serif SC" w:eastAsia="Noto Serif SC" w:hAnsi="Noto Serif SC"/>
          <w:b/>
          <w:bCs/>
          <w:color w:val="5a4a30"/>
          <w:sz w:val="28"/>
          <w:szCs w:val="28"/>
        </w:rPr>
        <w:t xml:space="preserve">The Leap from Story to Sutra-Tableau</w:t>
      </w:r>
    </w:p>
    <w:p>
      <w:pPr>
        <w:spacing w:after="160" w:line="360"/>
      </w:pPr>
      <w:r>
        <w:rPr>
          <w:rFonts w:ascii="Noto Serif SC" w:cs="Noto Serif SC" w:eastAsia="Noto Serif SC" w:hAnsi="Noto Serif SC"/>
        </w:rPr>
        <w:t xml:space="preserve">Before the Tang, murals were mostly single-frame narrative scenes; the High Tang popularized the sutra-tableau — condensing the doctrine of an entire sutra into one sweeping Pure Land panorama. The viewer need not read the sutra line by line; one painting alone conveys the majesty of the Western Paradise. Mogao Caves 172 and 148 hold canonical examples of the Western Pure Land Tableau. This is a milestone in the popularization and sinification of Buddhist art.</w:t>
      </w:r>
    </w:p>
    <w:p>
      <w:pPr>
        <w:pStyle w:val="Heading2"/>
        <w:spacing w:after="140" w:before="260"/>
      </w:pPr>
      <w:r>
        <w:rPr>
          <w:rFonts w:ascii="Noto Serif SC" w:cs="Noto Serif SC" w:eastAsia="Noto Serif SC" w:hAnsi="Noto Serif SC"/>
          <w:b/>
          <w:bCs/>
          <w:color w:val="5a4a30"/>
          <w:sz w:val="28"/>
          <w:szCs w:val="28"/>
        </w:rPr>
        <w:t xml:space="preserve">The Chinese Zenith of the Flying Apsara</w:t>
      </w:r>
    </w:p>
    <w:p>
      <w:pPr>
        <w:spacing w:after="160" w:line="360"/>
      </w:pPr>
      <w:r>
        <w:rPr>
          <w:rFonts w:ascii="Noto Serif SC" w:cs="Noto Serif SC" w:eastAsia="Noto Serif SC" w:hAnsi="Noto Serif SC"/>
        </w:rPr>
        <w:t xml:space="preserve">The Dunhuang apsara evolved from a muscular, male Western form to the飘逸 ethereal celestial maiden of the Central Plains, reaching its apex in the High Tang: wingless and featherless, soaring on scarves and skirts alone. The twin apsaras of Cave 320, one plucking the pipa behind her back, have become a super-symbol of Eastern aesthetics. They are no longer religious illustration but the Tang paean to freedom and beauty.</w:t>
      </w:r>
    </w:p>
    <w:p>
      <w:pPr>
        <w:pStyle w:val="Heading2"/>
        <w:spacing w:after="140" w:before="260"/>
      </w:pPr>
      <w:r>
        <w:rPr>
          <w:rFonts w:ascii="Noto Serif SC" w:cs="Noto Serif SC" w:eastAsia="Noto Serif SC" w:hAnsi="Noto Serif SC"/>
          <w:b/>
          <w:bCs/>
          <w:color w:val="5a4a30"/>
          <w:sz w:val="28"/>
          <w:szCs w:val="28"/>
        </w:rPr>
        <w:t xml:space="preserve">The Integration of High-Tang Color and Technique</w:t>
      </w:r>
    </w:p>
    <w:p>
      <w:pPr>
        <w:spacing w:after="160" w:line="360"/>
      </w:pPr>
      <w:r>
        <w:rPr>
          <w:rFonts w:ascii="Noto Serif SC" w:cs="Noto Serif SC" w:eastAsia="Noto Serif SC" w:hAnsi="Noto Serif SC"/>
        </w:rPr>
        <w:t xml:space="preserve">High-Tang murals are a synthesis of mineral pigments: the blue-green landscapes inherit the Li Sixun lineage; the warmth of cinnabar grounds, the depth of azurite, and the brilliance of gold leaf create a gleaming, gilded Pure Land. Raised gold powder, iron-wire and orchid-leaf drawing combine; bird's-eye scattered perspective gathers an infinite Pure Land onto a single wall.</w:t>
      </w:r>
    </w:p>
    <w:p>
      <w:pPr>
        <w:pStyle w:val="Heading2"/>
        <w:spacing w:after="140" w:before="260"/>
      </w:pPr>
      <w:r>
        <w:rPr>
          <w:rFonts w:ascii="Noto Serif SC" w:cs="Noto Serif SC" w:eastAsia="Noto Serif SC" w:hAnsi="Noto Serif SC"/>
          <w:b/>
          <w:bCs/>
          <w:color w:val="5a4a30"/>
          <w:sz w:val="28"/>
          <w:szCs w:val="28"/>
        </w:rPr>
        <w:t xml:space="preserve">Key Concepts</w:t>
      </w:r>
    </w:p>
    <w:p>
      <w:pPr>
        <w:pStyle w:val="ListParagraph"/>
        <w:numPr>
          <w:ilvl w:val="0"/>
          <w:numId w:val="2"/>
        </w:numPr>
        <w:spacing w:after="80"/>
      </w:pPr>
      <w:r>
        <w:rPr>
          <w:rFonts w:ascii="Noto Serif SC" w:cs="Noto Serif SC" w:eastAsia="Noto Serif SC" w:hAnsi="Noto Serif SC"/>
          <w:sz w:val="22"/>
          <w:szCs w:val="22"/>
        </w:rPr>
        <w:t xml:space="preserve">Sutra-tableau</w:t>
      </w:r>
    </w:p>
    <w:p>
      <w:pPr>
        <w:pStyle w:val="ListParagraph"/>
        <w:numPr>
          <w:ilvl w:val="0"/>
          <w:numId w:val="2"/>
        </w:numPr>
        <w:spacing w:after="80"/>
      </w:pPr>
      <w:r>
        <w:rPr>
          <w:rFonts w:ascii="Noto Serif SC" w:cs="Noto Serif SC" w:eastAsia="Noto Serif SC" w:hAnsi="Noto Serif SC"/>
          <w:sz w:val="22"/>
          <w:szCs w:val="22"/>
        </w:rPr>
        <w:t xml:space="preserve">Western Pure Land Tableau</w:t>
      </w:r>
    </w:p>
    <w:p>
      <w:pPr>
        <w:pStyle w:val="ListParagraph"/>
        <w:numPr>
          <w:ilvl w:val="0"/>
          <w:numId w:val="2"/>
        </w:numPr>
        <w:spacing w:after="80"/>
      </w:pPr>
      <w:r>
        <w:rPr>
          <w:rFonts w:ascii="Noto Serif SC" w:cs="Noto Serif SC" w:eastAsia="Noto Serif SC" w:hAnsi="Noto Serif SC"/>
          <w:sz w:val="22"/>
          <w:szCs w:val="22"/>
        </w:rPr>
        <w:t xml:space="preserve">Flying Apsara</w:t>
      </w:r>
    </w:p>
    <w:p>
      <w:pPr>
        <w:pStyle w:val="ListParagraph"/>
        <w:numPr>
          <w:ilvl w:val="0"/>
          <w:numId w:val="2"/>
        </w:numPr>
        <w:spacing w:after="80"/>
      </w:pPr>
      <w:r>
        <w:rPr>
          <w:rFonts w:ascii="Noto Serif SC" w:cs="Noto Serif SC" w:eastAsia="Noto Serif SC" w:hAnsi="Noto Serif SC"/>
          <w:sz w:val="22"/>
          <w:szCs w:val="22"/>
        </w:rPr>
        <w:t xml:space="preserve">Pipa Plucked Behind the Back</w:t>
      </w:r>
    </w:p>
    <w:p>
      <w:pPr>
        <w:pStyle w:val="ListParagraph"/>
        <w:numPr>
          <w:ilvl w:val="0"/>
          <w:numId w:val="2"/>
        </w:numPr>
        <w:spacing w:after="80"/>
      </w:pPr>
      <w:r>
        <w:rPr>
          <w:rFonts w:ascii="Noto Serif SC" w:cs="Noto Serif SC" w:eastAsia="Noto Serif SC" w:hAnsi="Noto Serif SC"/>
          <w:sz w:val="22"/>
          <w:szCs w:val="22"/>
        </w:rPr>
        <w:t xml:space="preserve">Blue-Green Landscape</w:t>
      </w:r>
    </w:p>
    <w:p>
      <w:pPr>
        <w:pStyle w:val="Heading2"/>
        <w:spacing w:after="140" w:before="260"/>
      </w:pPr>
      <w:r>
        <w:rPr>
          <w:rFonts w:ascii="Noto Serif SC" w:cs="Noto Serif SC" w:eastAsia="Noto Serif SC" w:hAnsi="Noto Serif SC"/>
          <w:b/>
          <w:bCs/>
          <w:color w:val="5a4a30"/>
          <w:sz w:val="28"/>
          <w:szCs w:val="28"/>
        </w:rPr>
        <w:t xml:space="preserve">Related Digital Relics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3600"/>
        <w:gridCol w:w="1800"/>
        <w:gridCol w:w="2760"/>
      </w:tblGrid>
      <w:tr>
        <w:trPr>
          <w:tblHeader/>
        </w:trPr>
        <w:tc>
          <w:tcPr>
            <w:tcW w:type="dxa" w:w="120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No.</w:t>
            </w:r>
          </w:p>
        </w:tc>
        <w:tc>
          <w:tcPr>
            <w:tcW w:type="dxa" w:w="360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Name</w:t>
            </w:r>
          </w:p>
        </w:tc>
        <w:tc>
          <w:tcPr>
            <w:tcW w:type="dxa" w:w="180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Dating</w:t>
            </w:r>
          </w:p>
        </w:tc>
        <w:tc>
          <w:tcPr>
            <w:tcW w:type="dxa" w:w="276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Material / Find site</w:t>
            </w:r>
          </w:p>
        </w:tc>
      </w:tr>
      <w:tr>
        <w:tc>
          <w:tcPr>
            <w:tcW w:type="dxa" w:w="12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2</w:t>
            </w:r>
          </w:p>
        </w:tc>
        <w:tc>
          <w:tcPr>
            <w:tcW w:type="dxa" w:w="36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Flying Apsara Mural Fragment</w:t>
            </w:r>
          </w:p>
        </w:tc>
        <w:tc>
          <w:tcPr>
            <w:tcW w:type="dxa" w:w="18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High Tang</w:t>
            </w:r>
          </w:p>
        </w:tc>
        <w:tc>
          <w:tcPr>
            <w:tcW w:type="dxa" w:w="276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Mineral pigment · mud ground / Mogao Cave 320</w:t>
            </w:r>
          </w:p>
        </w:tc>
      </w:tr>
      <w:tr>
        <w:tc>
          <w:tcPr>
            <w:tcW w:type="dxa" w:w="12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5</w:t>
            </w:r>
          </w:p>
        </w:tc>
        <w:tc>
          <w:tcPr>
            <w:tcW w:type="dxa" w:w="36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Caisson Lotus Mandala</w:t>
            </w:r>
          </w:p>
        </w:tc>
        <w:tc>
          <w:tcPr>
            <w:tcW w:type="dxa" w:w="18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Early Tang</w:t>
            </w:r>
          </w:p>
        </w:tc>
        <w:tc>
          <w:tcPr>
            <w:tcW w:type="dxa" w:w="276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Mineral pigment / Mogao Cave 322</w:t>
            </w:r>
          </w:p>
        </w:tc>
      </w:tr>
    </w:tbl>
    <w:p>
      <w:pPr>
        <w:spacing w:before="120"/>
      </w:pPr>
      <w:r>
        <w:rPr>
          <w:rFonts w:ascii="Noto Serif SC" w:cs="Noto Serif SC" w:eastAsia="Noto Serif SC" w:hAnsi="Noto Serif SC"/>
          <w:i/>
          <w:iCs/>
          <w:color w:val="8a7330"/>
          <w:sz w:val="18"/>
          <w:szCs w:val="18"/>
        </w:rPr>
        <w:t xml:space="preserve">Narration script: The High Tang — the golden age of Dunhuang art. In this peri… (full narration available on the chapter-detail page)</w:t>
      </w:r>
    </w:p>
    <w:p>
      <w:r>
        <w:br w:type="page"/>
      </w:r>
    </w:p>
    <w:p>
      <w:pPr>
        <w:pStyle w:val="Heading1"/>
        <w:spacing w:after="200" w:before="360"/>
      </w:pPr>
      <w:r>
        <w:rPr>
          <w:rFonts w:ascii="Noto Serif SC" w:cs="Noto Serif SC" w:eastAsia="Noto Serif SC" w:hAnsi="Noto Serif SC"/>
          <w:b/>
          <w:bCs/>
          <w:color w:val="9c5a3c"/>
          <w:sz w:val="36"/>
          <w:szCs w:val="36"/>
        </w:rPr>
        <w:t xml:space="preserve">Chapter IV   Five Dynasties Donors</w:t>
      </w:r>
    </w:p>
    <w:p>
      <w:pPr>
        <w:spacing w:after="200"/>
      </w:pPr>
      <w:r>
        <w:rPr>
          <w:rFonts w:ascii="Noto Serif SC" w:cs="Noto Serif SC" w:eastAsia="Noto Serif SC" w:hAnsi="Noto Serif SC"/>
          <w:b/>
          <w:bCs/>
          <w:color w:val="9c5a3c"/>
          <w:sz w:val="24"/>
          <w:szCs w:val="24"/>
        </w:rPr>
        <w:t xml:space="preserve">Five Dynasties &amp; Song · 10th–11th c.   ·   The Cao Painting Academy, Patrons Preserved</w:t>
      </w:r>
    </w:p>
    <w:p>
      <w:pPr>
        <w:pStyle w:val="Heading2"/>
        <w:spacing w:after="140" w:before="260"/>
      </w:pPr>
      <w:r>
        <w:rPr>
          <w:rFonts w:ascii="Noto Serif SC" w:cs="Noto Serif SC" w:eastAsia="Noto Serif SC" w:hAnsi="Noto Serif SC"/>
          <w:b/>
          <w:bCs/>
          <w:color w:val="5a4a30"/>
          <w:sz w:val="28"/>
          <w:szCs w:val="28"/>
        </w:rPr>
        <w:t xml:space="preserve">Overview</w:t>
      </w:r>
    </w:p>
    <w:p>
      <w:pPr>
        <w:spacing w:after="160" w:line="360"/>
      </w:pPr>
      <w:r>
        <w:rPr>
          <w:rFonts w:ascii="Noto Serif SC" w:cs="Noto Serif SC" w:eastAsia="Noto Serif SC" w:hAnsi="Noto Serif SC"/>
        </w:rPr>
        <w:t xml:space="preserve">The Guiyijun Cao clan set up a painting academy, standardizing mural production; donor portraits multiply, becoming a precious image archive for the study of dress, society, and Silk Road family networks of the time.</w:t>
      </w:r>
    </w:p>
    <w:p>
      <w:pPr>
        <w:pStyle w:val="Heading2"/>
        <w:spacing w:after="140" w:before="260"/>
      </w:pPr>
      <w:r>
        <w:rPr>
          <w:rFonts w:ascii="Noto Serif SC" w:cs="Noto Serif SC" w:eastAsia="Noto Serif SC" w:hAnsi="Noto Serif SC"/>
          <w:b/>
          <w:bCs/>
          <w:color w:val="5a4a30"/>
          <w:sz w:val="28"/>
          <w:szCs w:val="28"/>
        </w:rPr>
        <w:t xml:space="preserve">The Cao Academy and Formulaic Production</w:t>
      </w:r>
    </w:p>
    <w:p>
      <w:pPr>
        <w:spacing w:after="160" w:line="360"/>
      </w:pPr>
      <w:r>
        <w:rPr>
          <w:rFonts w:ascii="Noto Serif SC" w:cs="Noto Serif SC" w:eastAsia="Noto Serif SC" w:hAnsi="Noto Serif SC"/>
        </w:rPr>
        <w:t xml:space="preserve">In the Five Dynasties, the Cao clan — descended from Military Commissioner Cao Yijin — ruled Shazhou for nearly a century and, imitating the Central Plains, established a painting academy. Mural production became formulaic and scaled: painters divided labor, models were passed down across generations. Though it lost the Tang's improvisation, it ensured sustained output and stylistic unity, allowing Mogao to keep being built through troubled times.</w:t>
      </w:r>
    </w:p>
    <w:p>
      <w:pPr>
        <w:pStyle w:val="Heading2"/>
        <w:spacing w:after="140" w:before="260"/>
      </w:pPr>
      <w:r>
        <w:rPr>
          <w:rFonts w:ascii="Noto Serif SC" w:cs="Noto Serif SC" w:eastAsia="Noto Serif SC" w:hAnsi="Noto Serif SC"/>
          <w:b/>
          <w:bCs/>
          <w:color w:val="5a4a30"/>
          <w:sz w:val="28"/>
          <w:szCs w:val="28"/>
        </w:rPr>
        <w:t xml:space="preserve">Donors: Real Faces in the Grottoes</w:t>
      </w:r>
    </w:p>
    <w:p>
      <w:pPr>
        <w:spacing w:after="160" w:line="360"/>
      </w:pPr>
      <w:r>
        <w:rPr>
          <w:rFonts w:ascii="Noto Serif SC" w:cs="Noto Serif SC" w:eastAsia="Noto Serif SC" w:hAnsi="Noto Serif SC"/>
        </w:rPr>
        <w:t xml:space="preserve">Donors are the merit-holders who funded the caves. In the Five Dynasties their portraits reach unprecedented scale, often appearing in groups along the corridor walls, men and women in sequence, with names and offices inscribed. The principal wife of Cao Yijin, a Uyghur princess of Khotan, is especially striking; their dress, makeup, and patterns are an ideal image archive for the study of material culture, ethnic fusion, and Silk Road marriage alliances.</w:t>
      </w:r>
    </w:p>
    <w:p>
      <w:pPr>
        <w:pStyle w:val="Heading2"/>
        <w:spacing w:after="140" w:before="260"/>
      </w:pPr>
      <w:r>
        <w:rPr>
          <w:rFonts w:ascii="Noto Serif SC" w:cs="Noto Serif SC" w:eastAsia="Noto Serif SC" w:hAnsi="Noto Serif SC"/>
          <w:b/>
          <w:bCs/>
          <w:color w:val="5a4a30"/>
          <w:sz w:val="28"/>
          <w:szCs w:val="28"/>
        </w:rPr>
        <w:t xml:space="preserve">A Silk Road Family Network in Images</w:t>
      </w:r>
    </w:p>
    <w:p>
      <w:pPr>
        <w:spacing w:after="160" w:line="360"/>
      </w:pPr>
      <w:r>
        <w:rPr>
          <w:rFonts w:ascii="Noto Serif SC" w:cs="Noto Serif SC" w:eastAsia="Noto Serif SC" w:hAnsi="Noto Serif SC"/>
        </w:rPr>
        <w:t xml:space="preserve">Donor inscriptions reveal a telling fact: through marriage, the Cao clan forged close political-commercial alliances with Khotan and the Ganzhou Uyghurs. A single cave's donor procession is, in truth, a miniature map of Silk Road relations. Mogao is thus not only an art hall but a visual archive of medieval society.</w:t>
      </w:r>
    </w:p>
    <w:p>
      <w:pPr>
        <w:pStyle w:val="Heading2"/>
        <w:spacing w:after="140" w:before="260"/>
      </w:pPr>
      <w:r>
        <w:rPr>
          <w:rFonts w:ascii="Noto Serif SC" w:cs="Noto Serif SC" w:eastAsia="Noto Serif SC" w:hAnsi="Noto Serif SC"/>
          <w:b/>
          <w:bCs/>
          <w:color w:val="5a4a30"/>
          <w:sz w:val="28"/>
          <w:szCs w:val="28"/>
        </w:rPr>
        <w:t xml:space="preserve">Key Concepts</w:t>
      </w:r>
    </w:p>
    <w:p>
      <w:pPr>
        <w:pStyle w:val="ListParagraph"/>
        <w:numPr>
          <w:ilvl w:val="0"/>
          <w:numId w:val="2"/>
        </w:numPr>
        <w:spacing w:after="80"/>
      </w:pPr>
      <w:r>
        <w:rPr>
          <w:rFonts w:ascii="Noto Serif SC" w:cs="Noto Serif SC" w:eastAsia="Noto Serif SC" w:hAnsi="Noto Serif SC"/>
          <w:sz w:val="22"/>
          <w:szCs w:val="22"/>
        </w:rPr>
        <w:t xml:space="preserve">Cao Yijin</w:t>
      </w:r>
    </w:p>
    <w:p>
      <w:pPr>
        <w:pStyle w:val="ListParagraph"/>
        <w:numPr>
          <w:ilvl w:val="0"/>
          <w:numId w:val="2"/>
        </w:numPr>
        <w:spacing w:after="80"/>
      </w:pPr>
      <w:r>
        <w:rPr>
          <w:rFonts w:ascii="Noto Serif SC" w:cs="Noto Serif SC" w:eastAsia="Noto Serif SC" w:hAnsi="Noto Serif SC"/>
          <w:sz w:val="22"/>
          <w:szCs w:val="22"/>
        </w:rPr>
        <w:t xml:space="preserve">Cao Painting Academy</w:t>
      </w:r>
    </w:p>
    <w:p>
      <w:pPr>
        <w:pStyle w:val="ListParagraph"/>
        <w:numPr>
          <w:ilvl w:val="0"/>
          <w:numId w:val="2"/>
        </w:numPr>
        <w:spacing w:after="80"/>
      </w:pPr>
      <w:r>
        <w:rPr>
          <w:rFonts w:ascii="Noto Serif SC" w:cs="Noto Serif SC" w:eastAsia="Noto Serif SC" w:hAnsi="Noto Serif SC"/>
          <w:sz w:val="22"/>
          <w:szCs w:val="22"/>
        </w:rPr>
        <w:t xml:space="preserve">Donor (Patron)</w:t>
      </w:r>
    </w:p>
    <w:p>
      <w:pPr>
        <w:pStyle w:val="ListParagraph"/>
        <w:numPr>
          <w:ilvl w:val="0"/>
          <w:numId w:val="2"/>
        </w:numPr>
        <w:spacing w:after="80"/>
      </w:pPr>
      <w:r>
        <w:rPr>
          <w:rFonts w:ascii="Noto Serif SC" w:cs="Noto Serif SC" w:eastAsia="Noto Serif SC" w:hAnsi="Noto Serif SC"/>
          <w:sz w:val="22"/>
          <w:szCs w:val="22"/>
        </w:rPr>
        <w:t xml:space="preserve">Uyghur Princess</w:t>
      </w:r>
    </w:p>
    <w:p>
      <w:pPr>
        <w:pStyle w:val="ListParagraph"/>
        <w:numPr>
          <w:ilvl w:val="0"/>
          <w:numId w:val="2"/>
        </w:numPr>
        <w:spacing w:after="80"/>
      </w:pPr>
      <w:r>
        <w:rPr>
          <w:rFonts w:ascii="Noto Serif SC" w:cs="Noto Serif SC" w:eastAsia="Noto Serif SC" w:hAnsi="Noto Serif SC"/>
          <w:sz w:val="22"/>
          <w:szCs w:val="22"/>
        </w:rPr>
        <w:t xml:space="preserve">Military Commissioner</w:t>
      </w:r>
    </w:p>
    <w:p>
      <w:pPr>
        <w:pStyle w:val="Heading2"/>
        <w:spacing w:after="140" w:before="260"/>
      </w:pPr>
      <w:r>
        <w:rPr>
          <w:rFonts w:ascii="Noto Serif SC" w:cs="Noto Serif SC" w:eastAsia="Noto Serif SC" w:hAnsi="Noto Serif SC"/>
          <w:b/>
          <w:bCs/>
          <w:color w:val="5a4a30"/>
          <w:sz w:val="28"/>
          <w:szCs w:val="28"/>
        </w:rPr>
        <w:t xml:space="preserve">Related Digital Relics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3600"/>
        <w:gridCol w:w="1800"/>
        <w:gridCol w:w="2760"/>
      </w:tblGrid>
      <w:tr>
        <w:trPr>
          <w:tblHeader/>
        </w:trPr>
        <w:tc>
          <w:tcPr>
            <w:tcW w:type="dxa" w:w="120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No.</w:t>
            </w:r>
          </w:p>
        </w:tc>
        <w:tc>
          <w:tcPr>
            <w:tcW w:type="dxa" w:w="360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Name</w:t>
            </w:r>
          </w:p>
        </w:tc>
        <w:tc>
          <w:tcPr>
            <w:tcW w:type="dxa" w:w="180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Dating</w:t>
            </w:r>
          </w:p>
        </w:tc>
        <w:tc>
          <w:tcPr>
            <w:tcW w:type="dxa" w:w="276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Material / Find site</w:t>
            </w:r>
          </w:p>
        </w:tc>
      </w:tr>
      <w:tr>
        <w:tc>
          <w:tcPr>
            <w:tcW w:type="dxa" w:w="12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12</w:t>
            </w:r>
          </w:p>
        </w:tc>
        <w:tc>
          <w:tcPr>
            <w:tcW w:type="dxa" w:w="36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Donor Noblewoman Mural</w:t>
            </w:r>
          </w:p>
        </w:tc>
        <w:tc>
          <w:tcPr>
            <w:tcW w:type="dxa" w:w="18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Five Dynasties</w:t>
            </w:r>
          </w:p>
        </w:tc>
        <w:tc>
          <w:tcPr>
            <w:tcW w:type="dxa" w:w="276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Mineral pigment / Mogao Cave 61</w:t>
            </w:r>
          </w:p>
        </w:tc>
      </w:tr>
      <w:tr>
        <w:tc>
          <w:tcPr>
            <w:tcW w:type="dxa" w:w="12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18</w:t>
            </w:r>
          </w:p>
        </w:tc>
        <w:tc>
          <w:tcPr>
            <w:tcW w:type="dxa" w:w="36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Buddha-Preaching Hanging Scroll</w:t>
            </w:r>
          </w:p>
        </w:tc>
        <w:tc>
          <w:tcPr>
            <w:tcW w:type="dxa" w:w="18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Five Dynasties–Song</w:t>
            </w:r>
          </w:p>
        </w:tc>
        <w:tc>
          <w:tcPr>
            <w:tcW w:type="dxa" w:w="276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Silk, color / Library Cave</w:t>
            </w:r>
          </w:p>
        </w:tc>
      </w:tr>
    </w:tbl>
    <w:p>
      <w:pPr>
        <w:spacing w:before="120"/>
      </w:pPr>
      <w:r>
        <w:rPr>
          <w:rFonts w:ascii="Noto Serif SC" w:cs="Noto Serif SC" w:eastAsia="Noto Serif SC" w:hAnsi="Noto Serif SC"/>
          <w:i/>
          <w:iCs/>
          <w:color w:val="8a7330"/>
          <w:sz w:val="18"/>
          <w:szCs w:val="18"/>
        </w:rPr>
        <w:t xml:space="preserve">Narration script: In the Five Dynasties, the Guiyijun commissioner Cao Yijin's… (full narration available on the chapter-detail page)</w:t>
      </w:r>
    </w:p>
    <w:p>
      <w:r>
        <w:br w:type="page"/>
      </w:r>
    </w:p>
    <w:p>
      <w:pPr>
        <w:pStyle w:val="Heading1"/>
        <w:spacing w:after="200" w:before="360"/>
      </w:pPr>
      <w:r>
        <w:rPr>
          <w:rFonts w:ascii="Noto Serif SC" w:cs="Noto Serif SC" w:eastAsia="Noto Serif SC" w:hAnsi="Noto Serif SC"/>
          <w:b/>
          <w:bCs/>
          <w:color w:val="9c5a3c"/>
          <w:sz w:val="36"/>
          <w:szCs w:val="36"/>
        </w:rPr>
        <w:t xml:space="preserve">Chapter V   Western Xia &amp; Yuan-Mongol</w:t>
      </w:r>
    </w:p>
    <w:p>
      <w:pPr>
        <w:spacing w:after="200"/>
      </w:pPr>
      <w:r>
        <w:rPr>
          <w:rFonts w:ascii="Noto Serif SC" w:cs="Noto Serif SC" w:eastAsia="Noto Serif SC" w:hAnsi="Noto Serif SC"/>
          <w:b/>
          <w:bCs/>
          <w:color w:val="9c5a3c"/>
          <w:sz w:val="24"/>
          <w:szCs w:val="24"/>
        </w:rPr>
        <w:t xml:space="preserve">Western Xia &amp; Yuan-Mongol · 11th–14th c.   ·   Esoteric Buddhism East, Mandalas Rise</w:t>
      </w:r>
    </w:p>
    <w:p>
      <w:pPr>
        <w:pStyle w:val="Heading2"/>
        <w:spacing w:after="140" w:before="260"/>
      </w:pPr>
      <w:r>
        <w:rPr>
          <w:rFonts w:ascii="Noto Serif SC" w:cs="Noto Serif SC" w:eastAsia="Noto Serif SC" w:hAnsi="Noto Serif SC"/>
          <w:b/>
          <w:bCs/>
          <w:color w:val="5a4a30"/>
          <w:sz w:val="28"/>
          <w:szCs w:val="28"/>
        </w:rPr>
        <w:t xml:space="preserve">Overview</w:t>
      </w:r>
    </w:p>
    <w:p>
      <w:pPr>
        <w:spacing w:after="160" w:line="360"/>
      </w:pPr>
      <w:r>
        <w:rPr>
          <w:rFonts w:ascii="Noto Serif SC" w:cs="Noto Serif SC" w:eastAsia="Noto Serif SC" w:hAnsi="Noto Serif SC"/>
        </w:rPr>
        <w:t xml:space="preserve">Under Western Xia and Yuan rule, Tibetan esoteric influence deepened; mandalas, yab-yum figures, and multi-faced, multi-armed deities multiply, and Dunhuang art takes on a unique mixed Han-esoteric-Tibetan character.</w:t>
      </w:r>
    </w:p>
    <w:p>
      <w:pPr>
        <w:pStyle w:val="Heading2"/>
        <w:spacing w:after="140" w:before="260"/>
      </w:pPr>
      <w:r>
        <w:rPr>
          <w:rFonts w:ascii="Noto Serif SC" w:cs="Noto Serif SC" w:eastAsia="Noto Serif SC" w:hAnsi="Noto Serif SC"/>
          <w:b/>
          <w:bCs/>
          <w:color w:val="5a4a30"/>
          <w:sz w:val="28"/>
          <w:szCs w:val="28"/>
        </w:rPr>
        <w:t xml:space="preserve">Why Esoteric Buddhism Thrived Here</w:t>
      </w:r>
    </w:p>
    <w:p>
      <w:pPr>
        <w:spacing w:after="160" w:line="360"/>
      </w:pPr>
      <w:r>
        <w:rPr>
          <w:rFonts w:ascii="Noto Serif SC" w:cs="Noto Serif SC" w:eastAsia="Noto Serif SC" w:hAnsi="Noto Serif SC"/>
        </w:rPr>
        <w:t xml:space="preserve">The Western Xia revered Buddhism and, bordering Tibetan lands, received Tibetan Buddhism spreading east along the Hexi. The Yuan honored the Sakya school; Phagpa headed the Bureau of Buddhist and Tibetan Affairs, and Dunhuang — on the empire's east-west artery — gained official patronage for esoteric art. Mogao and Yulin Caves preserve numerous Western Xia-to-Yuan esoteric caves.</w:t>
      </w:r>
    </w:p>
    <w:p>
      <w:pPr>
        <w:pStyle w:val="Heading2"/>
        <w:spacing w:after="140" w:before="260"/>
      </w:pPr>
      <w:r>
        <w:rPr>
          <w:rFonts w:ascii="Noto Serif SC" w:cs="Noto Serif SC" w:eastAsia="Noto Serif SC" w:hAnsi="Noto Serif SC"/>
          <w:b/>
          <w:bCs/>
          <w:color w:val="5a4a30"/>
          <w:sz w:val="28"/>
          <w:szCs w:val="28"/>
        </w:rPr>
        <w:t xml:space="preserve">Mandalas and the Convergence of Deities</w:t>
      </w:r>
    </w:p>
    <w:p>
      <w:pPr>
        <w:spacing w:after="160" w:line="360"/>
      </w:pPr>
      <w:r>
        <w:rPr>
          <w:rFonts w:ascii="Noto Serif SC" w:cs="Noto Serif SC" w:eastAsia="Noto Serif SC" w:hAnsi="Noto Serif SC"/>
        </w:rPr>
        <w:t xml:space="preserve">The mandala — the palace of the dharma-realm in rigorous geometry — is the core image of esoteric practice. The mandalas of Yulin Caves 3 and 4 are precisely structured, gathering yab-yum figures, multi-faced, multi-armed deities, and fierce dharma-protectors on one wall; the palette is dominated by deep blue and vermilion with gold linework, a visual character quite unlike the High Tang's blue-green.</w:t>
      </w:r>
    </w:p>
    <w:p>
      <w:pPr>
        <w:pStyle w:val="Heading2"/>
        <w:spacing w:after="140" w:before="260"/>
      </w:pPr>
      <w:r>
        <w:rPr>
          <w:rFonts w:ascii="Noto Serif SC" w:cs="Noto Serif SC" w:eastAsia="Noto Serif SC" w:hAnsi="Noto Serif SC"/>
          <w:b/>
          <w:bCs/>
          <w:color w:val="5a4a30"/>
          <w:sz w:val="28"/>
          <w:szCs w:val="28"/>
        </w:rPr>
        <w:t xml:space="preserve">Brushwork of Han-Tibetan Fusion</w:t>
      </w:r>
    </w:p>
    <w:p>
      <w:pPr>
        <w:spacing w:after="160" w:line="360"/>
      </w:pPr>
      <w:r>
        <w:rPr>
          <w:rFonts w:ascii="Noto Serif SC" w:cs="Noto Serif SC" w:eastAsia="Noto Serif SC" w:hAnsi="Noto Serif SC"/>
        </w:rPr>
        <w:t xml:space="preserve">Painters of this era came from Han, Tibetan, Tangut, and Mongol communities; Han line drawing and Tibetan flat-wash shading are used together, and some works take on the mood of Central Plains ink painting. The Thousand-Handed, Thousand-Eyed Avalokitesvara of Cave 3, in iron-wire drawing, is hailed as the summit of Dunhuang linework. Layered polities here bred a unique mixed aesthetic.</w:t>
      </w:r>
    </w:p>
    <w:p>
      <w:pPr>
        <w:pStyle w:val="Heading2"/>
        <w:spacing w:after="140" w:before="260"/>
      </w:pPr>
      <w:r>
        <w:rPr>
          <w:rFonts w:ascii="Noto Serif SC" w:cs="Noto Serif SC" w:eastAsia="Noto Serif SC" w:hAnsi="Noto Serif SC"/>
          <w:b/>
          <w:bCs/>
          <w:color w:val="5a4a30"/>
          <w:sz w:val="28"/>
          <w:szCs w:val="28"/>
        </w:rPr>
        <w:t xml:space="preserve">Key Concepts</w:t>
      </w:r>
    </w:p>
    <w:p>
      <w:pPr>
        <w:pStyle w:val="ListParagraph"/>
        <w:numPr>
          <w:ilvl w:val="0"/>
          <w:numId w:val="2"/>
        </w:numPr>
        <w:spacing w:after="80"/>
      </w:pPr>
      <w:r>
        <w:rPr>
          <w:rFonts w:ascii="Noto Serif SC" w:cs="Noto Serif SC" w:eastAsia="Noto Serif SC" w:hAnsi="Noto Serif SC"/>
          <w:sz w:val="22"/>
          <w:szCs w:val="22"/>
        </w:rPr>
        <w:t xml:space="preserve">Tibetan Esoteric Buddhism</w:t>
      </w:r>
    </w:p>
    <w:p>
      <w:pPr>
        <w:pStyle w:val="ListParagraph"/>
        <w:numPr>
          <w:ilvl w:val="0"/>
          <w:numId w:val="2"/>
        </w:numPr>
        <w:spacing w:after="80"/>
      </w:pPr>
      <w:r>
        <w:rPr>
          <w:rFonts w:ascii="Noto Serif SC" w:cs="Noto Serif SC" w:eastAsia="Noto Serif SC" w:hAnsi="Noto Serif SC"/>
          <w:sz w:val="22"/>
          <w:szCs w:val="22"/>
        </w:rPr>
        <w:t xml:space="preserve">Mandala</w:t>
      </w:r>
    </w:p>
    <w:p>
      <w:pPr>
        <w:pStyle w:val="ListParagraph"/>
        <w:numPr>
          <w:ilvl w:val="0"/>
          <w:numId w:val="2"/>
        </w:numPr>
        <w:spacing w:after="80"/>
      </w:pPr>
      <w:r>
        <w:rPr>
          <w:rFonts w:ascii="Noto Serif SC" w:cs="Noto Serif SC" w:eastAsia="Noto Serif SC" w:hAnsi="Noto Serif SC"/>
          <w:sz w:val="22"/>
          <w:szCs w:val="22"/>
        </w:rPr>
        <w:t xml:space="preserve">Yab-yum</w:t>
      </w:r>
    </w:p>
    <w:p>
      <w:pPr>
        <w:pStyle w:val="ListParagraph"/>
        <w:numPr>
          <w:ilvl w:val="0"/>
          <w:numId w:val="2"/>
        </w:numPr>
        <w:spacing w:after="80"/>
      </w:pPr>
      <w:r>
        <w:rPr>
          <w:rFonts w:ascii="Noto Serif SC" w:cs="Noto Serif SC" w:eastAsia="Noto Serif SC" w:hAnsi="Noto Serif SC"/>
          <w:sz w:val="22"/>
          <w:szCs w:val="22"/>
        </w:rPr>
        <w:t xml:space="preserve">Sakya School</w:t>
      </w:r>
    </w:p>
    <w:p>
      <w:pPr>
        <w:pStyle w:val="ListParagraph"/>
        <w:numPr>
          <w:ilvl w:val="0"/>
          <w:numId w:val="2"/>
        </w:numPr>
        <w:spacing w:after="80"/>
      </w:pPr>
      <w:r>
        <w:rPr>
          <w:rFonts w:ascii="Noto Serif SC" w:cs="Noto Serif SC" w:eastAsia="Noto Serif SC" w:hAnsi="Noto Serif SC"/>
          <w:sz w:val="22"/>
          <w:szCs w:val="22"/>
        </w:rPr>
        <w:t xml:space="preserve">Phagpa</w:t>
      </w:r>
    </w:p>
    <w:p>
      <w:pPr>
        <w:pStyle w:val="Heading2"/>
        <w:spacing w:after="140" w:before="260"/>
      </w:pPr>
      <w:r>
        <w:rPr>
          <w:rFonts w:ascii="Noto Serif SC" w:cs="Noto Serif SC" w:eastAsia="Noto Serif SC" w:hAnsi="Noto Serif SC"/>
          <w:b/>
          <w:bCs/>
          <w:color w:val="5a4a30"/>
          <w:sz w:val="28"/>
          <w:szCs w:val="28"/>
        </w:rPr>
        <w:t xml:space="preserve">Related Digital Relics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3600"/>
        <w:gridCol w:w="1800"/>
        <w:gridCol w:w="2760"/>
      </w:tblGrid>
      <w:tr>
        <w:trPr>
          <w:tblHeader/>
        </w:trPr>
        <w:tc>
          <w:tcPr>
            <w:tcW w:type="dxa" w:w="120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No.</w:t>
            </w:r>
          </w:p>
        </w:tc>
        <w:tc>
          <w:tcPr>
            <w:tcW w:type="dxa" w:w="360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Name</w:t>
            </w:r>
          </w:p>
        </w:tc>
        <w:tc>
          <w:tcPr>
            <w:tcW w:type="dxa" w:w="180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Dating</w:t>
            </w:r>
          </w:p>
        </w:tc>
        <w:tc>
          <w:tcPr>
            <w:tcW w:type="dxa" w:w="276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Material / Find site</w:t>
            </w:r>
          </w:p>
        </w:tc>
      </w:tr>
      <w:tr>
        <w:tc>
          <w:tcPr>
            <w:tcW w:type="dxa" w:w="12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23</w:t>
            </w:r>
          </w:p>
        </w:tc>
        <w:tc>
          <w:tcPr>
            <w:tcW w:type="dxa" w:w="36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Tibetan-Style Sand Mandala</w:t>
            </w:r>
          </w:p>
        </w:tc>
        <w:tc>
          <w:tcPr>
            <w:tcW w:type="dxa" w:w="18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Western Xia–Yuan</w:t>
            </w:r>
          </w:p>
        </w:tc>
        <w:tc>
          <w:tcPr>
            <w:tcW w:type="dxa" w:w="276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Mineral pigment · cloth / Yulin Caves</w:t>
            </w:r>
          </w:p>
        </w:tc>
      </w:tr>
      <w:tr>
        <w:tc>
          <w:tcPr>
            <w:tcW w:type="dxa" w:w="12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36</w:t>
            </w:r>
          </w:p>
        </w:tc>
        <w:tc>
          <w:tcPr>
            <w:tcW w:type="dxa" w:w="36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Lotus-Pattern Ritual Bronze Bell</w:t>
            </w:r>
          </w:p>
        </w:tc>
        <w:tc>
          <w:tcPr>
            <w:tcW w:type="dxa" w:w="18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Western Xia–Yuan</w:t>
            </w:r>
          </w:p>
        </w:tc>
        <w:tc>
          <w:tcPr>
            <w:tcW w:type="dxa" w:w="276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Bronze / Dunhuang</w:t>
            </w:r>
          </w:p>
        </w:tc>
      </w:tr>
    </w:tbl>
    <w:p>
      <w:pPr>
        <w:spacing w:before="120"/>
      </w:pPr>
      <w:r>
        <w:rPr>
          <w:rFonts w:ascii="Noto Serif SC" w:cs="Noto Serif SC" w:eastAsia="Noto Serif SC" w:hAnsi="Noto Serif SC"/>
          <w:i/>
          <w:iCs/>
          <w:color w:val="8a7330"/>
          <w:sz w:val="18"/>
          <w:szCs w:val="18"/>
        </w:rPr>
        <w:t xml:space="preserve">Narration script: Under the Western Xia and Yuan, Dunhuang art took another tu… (full narration available on the chapter-detail page)</w:t>
      </w:r>
    </w:p>
    <w:p>
      <w:r>
        <w:br w:type="page"/>
      </w:r>
    </w:p>
    <w:p>
      <w:pPr>
        <w:pStyle w:val="Heading1"/>
        <w:spacing w:after="200" w:before="360"/>
      </w:pPr>
      <w:r>
        <w:rPr>
          <w:rFonts w:ascii="Noto Serif SC" w:cs="Noto Serif SC" w:eastAsia="Noto Serif SC" w:hAnsi="Noto Serif SC"/>
          <w:b/>
          <w:bCs/>
          <w:color w:val="9c5a3c"/>
          <w:sz w:val="36"/>
          <w:szCs w:val="36"/>
        </w:rPr>
        <w:t xml:space="preserve">Chapter VI   The Library Cave</w:t>
      </w:r>
    </w:p>
    <w:p>
      <w:pPr>
        <w:spacing w:after="200"/>
      </w:pPr>
      <w:r>
        <w:rPr>
          <w:rFonts w:ascii="Noto Serif SC" w:cs="Noto Serif SC" w:eastAsia="Noto Serif SC" w:hAnsi="Noto Serif SC"/>
          <w:b/>
          <w:bCs/>
          <w:color w:val="9c5a3c"/>
          <w:sz w:val="24"/>
          <w:szCs w:val="24"/>
        </w:rPr>
        <w:t xml:space="preserve">Early Northern Song · early 11th c.   ·   Sealed a Millennium, Revealed Anew</w:t>
      </w:r>
    </w:p>
    <w:p>
      <w:pPr>
        <w:pStyle w:val="Heading2"/>
        <w:spacing w:after="140" w:before="260"/>
      </w:pPr>
      <w:r>
        <w:rPr>
          <w:rFonts w:ascii="Noto Serif SC" w:cs="Noto Serif SC" w:eastAsia="Noto Serif SC" w:hAnsi="Noto Serif SC"/>
          <w:b/>
          <w:bCs/>
          <w:color w:val="5a4a30"/>
          <w:sz w:val="28"/>
          <w:szCs w:val="28"/>
        </w:rPr>
        <w:t xml:space="preserve">Overview</w:t>
      </w:r>
    </w:p>
    <w:p>
      <w:pPr>
        <w:spacing w:after="160" w:line="360"/>
      </w:pPr>
      <w:r>
        <w:rPr>
          <w:rFonts w:ascii="Noto Serif SC" w:cs="Noto Serif SC" w:eastAsia="Noto Serif SC" w:hAnsi="Noto Serif SC"/>
        </w:rPr>
        <w:t xml:space="preserve">In 1900, the Daoist priest Wang Yuanlu, clearing accumulated sand, chanced upon a hidden chamber — Cave 17 — holding over 50,000 manuscripts and silk paintings from the 4th to 11th centuries, hailed as "the medieval Eastern library."</w:t>
      </w:r>
    </w:p>
    <w:p>
      <w:pPr>
        <w:pStyle w:val="Heading2"/>
        <w:spacing w:after="140" w:before="260"/>
      </w:pPr>
      <w:r>
        <w:rPr>
          <w:rFonts w:ascii="Noto Serif SC" w:cs="Noto Serif SC" w:eastAsia="Noto Serif SC" w:hAnsi="Noto Serif SC"/>
          <w:b/>
          <w:bCs/>
          <w:color w:val="5a4a30"/>
          <w:sz w:val="28"/>
          <w:szCs w:val="28"/>
        </w:rPr>
        <w:t xml:space="preserve">A Great Accidental Discovery</w:t>
      </w:r>
    </w:p>
    <w:p>
      <w:pPr>
        <w:spacing w:after="160" w:line="360"/>
      </w:pPr>
      <w:r>
        <w:rPr>
          <w:rFonts w:ascii="Noto Serif SC" w:cs="Noto Serif SC" w:eastAsia="Noto Serif SC" w:hAnsi="Noto Serif SC"/>
        </w:rPr>
        <w:t xml:space="preserve">In 1900, the aging Daoist priest Wang Yuanlu, clearing sand at Mogao Cave 16, accidentally broke open a hidden opening in the north wall of the corridor, and Cave 17 came to light. The chamber was stuffed floor to ceiling with manuscripts, silk paintings, and documents from the 4th to the early 11th century — over 50,000 items in total — the largest raw archive for the study of medieval China and the Silk Road.</w:t>
      </w:r>
    </w:p>
    <w:p>
      <w:pPr>
        <w:pStyle w:val="Heading2"/>
        <w:spacing w:after="140" w:before="260"/>
      </w:pPr>
      <w:r>
        <w:rPr>
          <w:rFonts w:ascii="Noto Serif SC" w:cs="Noto Serif SC" w:eastAsia="Noto Serif SC" w:hAnsi="Noto Serif SC"/>
          <w:b/>
          <w:bCs/>
          <w:color w:val="5a4a30"/>
          <w:sz w:val="28"/>
          <w:szCs w:val="28"/>
        </w:rPr>
        <w:t xml:space="preserve">Why and When It Was Sealed</w:t>
      </w:r>
    </w:p>
    <w:p>
      <w:pPr>
        <w:spacing w:after="160" w:line="360"/>
      </w:pPr>
      <w:r>
        <w:rPr>
          <w:rFonts w:ascii="Noto Serif SC" w:cs="Noto Serif SC" w:eastAsia="Noto Serif SC" w:hAnsi="Noto Serif SC"/>
        </w:rPr>
        <w:t xml:space="preserve">Scholars infer that on the eve of the Western Xia taking Shazhou around 1036, monks sealed the monastery's scriptures in the shadow-cave of the monk Hongbian (Cave 17) to protect them from the ravages of war, then disguised the wall with plaster. That seal lasted nearly nine hundred years. Cut off from air and light, these fragile paper and silk were miraculously preserved.</w:t>
      </w:r>
    </w:p>
    <w:p>
      <w:pPr>
        <w:pStyle w:val="Heading2"/>
        <w:spacing w:after="140" w:before="260"/>
      </w:pPr>
      <w:r>
        <w:rPr>
          <w:rFonts w:ascii="Noto Serif SC" w:cs="Noto Serif SC" w:eastAsia="Noto Serif SC" w:hAnsi="Noto Serif SC"/>
          <w:b/>
          <w:bCs/>
          <w:color w:val="5a4a30"/>
          <w:sz w:val="28"/>
          <w:szCs w:val="28"/>
        </w:rPr>
        <w:t xml:space="preserve">An International Discipline Is Born</w:t>
      </w:r>
    </w:p>
    <w:p>
      <w:pPr>
        <w:spacing w:after="160" w:line="360"/>
      </w:pPr>
      <w:r>
        <w:rPr>
          <w:rFonts w:ascii="Noto Serif SC" w:cs="Noto Serif SC" w:eastAsia="Noto Serif SC" w:hAnsi="Noto Serif SC"/>
        </w:rPr>
        <w:t xml:space="preserve">Once the Library Cave documents surfaced, Stein, Pelliot, and others successively carried off large quantities of the finest pieces, now held in London, Paris, and elsewhere — the beginning of dispersal (see the next chapter). But their academic value is incalculable: they let scholars return to the manuscript age and touch original texts unwarped by copying, giving rise to the international discipline of Dunhuang Studies.</w:t>
      </w:r>
    </w:p>
    <w:p>
      <w:pPr>
        <w:pStyle w:val="Heading2"/>
        <w:spacing w:after="140" w:before="260"/>
      </w:pPr>
      <w:r>
        <w:rPr>
          <w:rFonts w:ascii="Noto Serif SC" w:cs="Noto Serif SC" w:eastAsia="Noto Serif SC" w:hAnsi="Noto Serif SC"/>
          <w:b/>
          <w:bCs/>
          <w:color w:val="5a4a30"/>
          <w:sz w:val="28"/>
          <w:szCs w:val="28"/>
        </w:rPr>
        <w:t xml:space="preserve">Key Concepts</w:t>
      </w:r>
    </w:p>
    <w:p>
      <w:pPr>
        <w:pStyle w:val="ListParagraph"/>
        <w:numPr>
          <w:ilvl w:val="0"/>
          <w:numId w:val="2"/>
        </w:numPr>
        <w:spacing w:after="80"/>
      </w:pPr>
      <w:r>
        <w:rPr>
          <w:rFonts w:ascii="Noto Serif SC" w:cs="Noto Serif SC" w:eastAsia="Noto Serif SC" w:hAnsi="Noto Serif SC"/>
          <w:sz w:val="22"/>
          <w:szCs w:val="22"/>
        </w:rPr>
        <w:t xml:space="preserve">Wang Yuanlu</w:t>
      </w:r>
    </w:p>
    <w:p>
      <w:pPr>
        <w:pStyle w:val="ListParagraph"/>
        <w:numPr>
          <w:ilvl w:val="0"/>
          <w:numId w:val="2"/>
        </w:numPr>
        <w:spacing w:after="80"/>
      </w:pPr>
      <w:r>
        <w:rPr>
          <w:rFonts w:ascii="Noto Serif SC" w:cs="Noto Serif SC" w:eastAsia="Noto Serif SC" w:hAnsi="Noto Serif SC"/>
          <w:sz w:val="22"/>
          <w:szCs w:val="22"/>
        </w:rPr>
        <w:t xml:space="preserve">Cave 17</w:t>
      </w:r>
    </w:p>
    <w:p>
      <w:pPr>
        <w:pStyle w:val="ListParagraph"/>
        <w:numPr>
          <w:ilvl w:val="0"/>
          <w:numId w:val="2"/>
        </w:numPr>
        <w:spacing w:after="80"/>
      </w:pPr>
      <w:r>
        <w:rPr>
          <w:rFonts w:ascii="Noto Serif SC" w:cs="Noto Serif SC" w:eastAsia="Noto Serif SC" w:hAnsi="Noto Serif SC"/>
          <w:sz w:val="22"/>
          <w:szCs w:val="22"/>
        </w:rPr>
        <w:t xml:space="preserve">Dunhuang Documents</w:t>
      </w:r>
    </w:p>
    <w:p>
      <w:pPr>
        <w:pStyle w:val="ListParagraph"/>
        <w:numPr>
          <w:ilvl w:val="0"/>
          <w:numId w:val="2"/>
        </w:numPr>
        <w:spacing w:after="80"/>
      </w:pPr>
      <w:r>
        <w:rPr>
          <w:rFonts w:ascii="Noto Serif SC" w:cs="Noto Serif SC" w:eastAsia="Noto Serif SC" w:hAnsi="Noto Serif SC"/>
          <w:sz w:val="22"/>
          <w:szCs w:val="22"/>
        </w:rPr>
        <w:t xml:space="preserve">Manuscript Age</w:t>
      </w:r>
    </w:p>
    <w:p>
      <w:pPr>
        <w:pStyle w:val="ListParagraph"/>
        <w:numPr>
          <w:ilvl w:val="0"/>
          <w:numId w:val="2"/>
        </w:numPr>
        <w:spacing w:after="80"/>
      </w:pPr>
      <w:r>
        <w:rPr>
          <w:rFonts w:ascii="Noto Serif SC" w:cs="Noto Serif SC" w:eastAsia="Noto Serif SC" w:hAnsi="Noto Serif SC"/>
          <w:sz w:val="22"/>
          <w:szCs w:val="22"/>
        </w:rPr>
        <w:t xml:space="preserve">Guiyijun</w:t>
      </w:r>
    </w:p>
    <w:p>
      <w:pPr>
        <w:pStyle w:val="Heading2"/>
        <w:spacing w:after="140" w:before="260"/>
      </w:pPr>
      <w:r>
        <w:rPr>
          <w:rFonts w:ascii="Noto Serif SC" w:cs="Noto Serif SC" w:eastAsia="Noto Serif SC" w:hAnsi="Noto Serif SC"/>
          <w:b/>
          <w:bCs/>
          <w:color w:val="5a4a30"/>
          <w:sz w:val="28"/>
          <w:szCs w:val="28"/>
        </w:rPr>
        <w:t xml:space="preserve">Related Digital Relics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3600"/>
        <w:gridCol w:w="1800"/>
        <w:gridCol w:w="2760"/>
      </w:tblGrid>
      <w:tr>
        <w:trPr>
          <w:tblHeader/>
        </w:trPr>
        <w:tc>
          <w:tcPr>
            <w:tcW w:type="dxa" w:w="120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No.</w:t>
            </w:r>
          </w:p>
        </w:tc>
        <w:tc>
          <w:tcPr>
            <w:tcW w:type="dxa" w:w="360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Name</w:t>
            </w:r>
          </w:p>
        </w:tc>
        <w:tc>
          <w:tcPr>
            <w:tcW w:type="dxa" w:w="180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Dating</w:t>
            </w:r>
          </w:p>
        </w:tc>
        <w:tc>
          <w:tcPr>
            <w:tcW w:type="dxa" w:w="276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Material / Find site</w:t>
            </w:r>
          </w:p>
        </w:tc>
      </w:tr>
      <w:tr>
        <w:tc>
          <w:tcPr>
            <w:tcW w:type="dxa" w:w="12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3</w:t>
            </w:r>
          </w:p>
        </w:tc>
        <w:tc>
          <w:tcPr>
            <w:tcW w:type="dxa" w:w="36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Lotus Sutra Manuscript Scroll</w:t>
            </w:r>
          </w:p>
        </w:tc>
        <w:tc>
          <w:tcPr>
            <w:tcW w:type="dxa" w:w="18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Tang</w:t>
            </w:r>
          </w:p>
        </w:tc>
        <w:tc>
          <w:tcPr>
            <w:tcW w:type="dxa" w:w="276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Hemp paper · ink / Library Cave, Cave 17</w:t>
            </w:r>
          </w:p>
        </w:tc>
      </w:tr>
      <w:tr>
        <w:tc>
          <w:tcPr>
            <w:tcW w:type="dxa" w:w="12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11</w:t>
            </w:r>
          </w:p>
        </w:tc>
        <w:tc>
          <w:tcPr>
            <w:tcW w:type="dxa" w:w="36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Tibetan Manuscript</w:t>
            </w:r>
          </w:p>
        </w:tc>
        <w:tc>
          <w:tcPr>
            <w:tcW w:type="dxa" w:w="18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Tibetan–Guiyijun</w:t>
            </w:r>
          </w:p>
        </w:tc>
        <w:tc>
          <w:tcPr>
            <w:tcW w:type="dxa" w:w="276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Tibetan paper · ink &amp; cinnabar / Library Cave</w:t>
            </w:r>
          </w:p>
        </w:tc>
      </w:tr>
    </w:tbl>
    <w:p>
      <w:pPr>
        <w:spacing w:before="120"/>
      </w:pPr>
      <w:r>
        <w:rPr>
          <w:rFonts w:ascii="Noto Serif SC" w:cs="Noto Serif SC" w:eastAsia="Noto Serif SC" w:hAnsi="Noto Serif SC"/>
          <w:i/>
          <w:iCs/>
          <w:color w:val="8a7330"/>
          <w:sz w:val="18"/>
          <w:szCs w:val="18"/>
        </w:rPr>
        <w:t xml:space="preserve">Narration script: In 1900. An aging Daoist priest, Wang Yuanlu, clearing sand … (full narration available on the chapter-detail page)</w:t>
      </w:r>
    </w:p>
    <w:p>
      <w:r>
        <w:br w:type="page"/>
      </w:r>
    </w:p>
    <w:p>
      <w:pPr>
        <w:pStyle w:val="Heading1"/>
        <w:spacing w:after="200" w:before="360"/>
      </w:pPr>
      <w:r>
        <w:rPr>
          <w:rFonts w:ascii="Noto Serif SC" w:cs="Noto Serif SC" w:eastAsia="Noto Serif SC" w:hAnsi="Noto Serif SC"/>
          <w:b/>
          <w:bCs/>
          <w:color w:val="9c5a3c"/>
          <w:sz w:val="36"/>
          <w:szCs w:val="36"/>
        </w:rPr>
        <w:t xml:space="preserve">Chapter VII   Modern Dispersal</w:t>
      </w:r>
    </w:p>
    <w:p>
      <w:pPr>
        <w:spacing w:after="200"/>
      </w:pPr>
      <w:r>
        <w:rPr>
          <w:rFonts w:ascii="Noto Serif SC" w:cs="Noto Serif SC" w:eastAsia="Noto Serif SC" w:hAnsi="Noto Serif SC"/>
          <w:b/>
          <w:bCs/>
          <w:color w:val="9c5a3c"/>
          <w:sz w:val="24"/>
          <w:szCs w:val="24"/>
        </w:rPr>
        <w:t xml:space="preserve">Modern · 1900–1944   ·   Treasures Dimmed, a Painful Chronicle</w:t>
      </w:r>
    </w:p>
    <w:p>
      <w:pPr>
        <w:pStyle w:val="Heading2"/>
        <w:spacing w:after="140" w:before="260"/>
      </w:pPr>
      <w:r>
        <w:rPr>
          <w:rFonts w:ascii="Noto Serif SC" w:cs="Noto Serif SC" w:eastAsia="Noto Serif SC" w:hAnsi="Noto Serif SC"/>
          <w:b/>
          <w:bCs/>
          <w:color w:val="5a4a30"/>
          <w:sz w:val="28"/>
          <w:szCs w:val="28"/>
        </w:rPr>
        <w:t xml:space="preserve">Overview</w:t>
      </w:r>
    </w:p>
    <w:p>
      <w:pPr>
        <w:spacing w:after="160" w:line="360"/>
      </w:pPr>
      <w:r>
        <w:rPr>
          <w:rFonts w:ascii="Noto Serif SC" w:cs="Noto Serif SC" w:eastAsia="Noto Serif SC" w:hAnsi="Noto Serif SC"/>
        </w:rPr>
        <w:t xml:space="preserve">After the Library Cave opened, Western explorers — Stein, Pelliot, Otani, Oldenburg — carried off tens of thousands of Dunhuang treasures to collections across Europe and America, the most painful chapter in China's modern cultural-property history.</w:t>
      </w:r>
    </w:p>
    <w:p>
      <w:pPr>
        <w:pStyle w:val="Heading2"/>
        <w:spacing w:after="140" w:before="260"/>
      </w:pPr>
      <w:r>
        <w:rPr>
          <w:rFonts w:ascii="Noto Serif SC" w:cs="Noto Serif SC" w:eastAsia="Noto Serif SC" w:hAnsi="Noto Serif SC"/>
          <w:b/>
          <w:bCs/>
          <w:color w:val="5a4a30"/>
          <w:sz w:val="28"/>
          <w:szCs w:val="28"/>
        </w:rPr>
        <w:t xml:space="preserve">Explorers or Plunderers?</w:t>
      </w:r>
    </w:p>
    <w:p>
      <w:pPr>
        <w:spacing w:after="160" w:line="360"/>
      </w:pPr>
      <w:r>
        <w:rPr>
          <w:rFonts w:ascii="Noto Serif SC" w:cs="Noto Serif SC" w:eastAsia="Noto Serif SC" w:hAnsi="Noto Serif SC"/>
        </w:rPr>
        <w:t xml:space="preserve">When the Library Cave opened, the Qing court had no attention to spare. Stein bought nearly ten thousand manuscripts and silk paintings from Wang Yuanlu for a pittance and shipped them to London; Pelliot, drawing on deep sinological learning, hand-picked the finest six thousand for Paris. Then Otani Kozui, Oldenburg, and others followed; murals were peeled off, statues carted away, and Mogao suffered irreversible damage. This history leaves a complex tension between academic value and cultural sovereignty.</w:t>
      </w:r>
    </w:p>
    <w:p>
      <w:pPr>
        <w:pStyle w:val="Heading2"/>
        <w:spacing w:after="140" w:before="260"/>
      </w:pPr>
      <w:r>
        <w:rPr>
          <w:rFonts w:ascii="Noto Serif SC" w:cs="Noto Serif SC" w:eastAsia="Noto Serif SC" w:hAnsi="Noto Serif SC"/>
          <w:b/>
          <w:bCs/>
          <w:color w:val="5a4a30"/>
          <w:sz w:val="28"/>
          <w:szCs w:val="28"/>
        </w:rPr>
        <w:t xml:space="preserve">The Map of Dispersal</w:t>
      </w:r>
    </w:p>
    <w:p>
      <w:pPr>
        <w:spacing w:after="160" w:line="360"/>
      </w:pPr>
      <w:r>
        <w:rPr>
          <w:rFonts w:ascii="Noto Serif SC" w:cs="Noto Serif SC" w:eastAsia="Noto Serif SC" w:hAnsi="Noto Serif SC"/>
        </w:rPr>
        <w:t xml:space="preserve">Today Dunhuang treasures are scattered across more than a dozen countries — China, Britain, France, Russia, Japan, America — in dozens of institutions. The Stein manuscripts lie mostly in the British Library; Pelliot's choice selection in the Guimet Museum and Bibliothèque nationale de France; Oldenburg's haul in St. Petersburg. A single sutra or painting often lies split in two, hampering research and spurring international collaborative digitization.</w:t>
      </w:r>
    </w:p>
    <w:p>
      <w:pPr>
        <w:pStyle w:val="Heading2"/>
        <w:spacing w:after="140" w:before="260"/>
      </w:pPr>
      <w:r>
        <w:rPr>
          <w:rFonts w:ascii="Noto Serif SC" w:cs="Noto Serif SC" w:eastAsia="Noto Serif SC" w:hAnsi="Noto Serif SC"/>
          <w:b/>
          <w:bCs/>
          <w:color w:val="5a4a30"/>
          <w:sz w:val="28"/>
          <w:szCs w:val="28"/>
        </w:rPr>
        <w:t xml:space="preserve">From Catastrophe to Stewardship</w:t>
      </w:r>
    </w:p>
    <w:p>
      <w:pPr>
        <w:spacing w:after="160" w:line="360"/>
      </w:pPr>
      <w:r>
        <w:rPr>
          <w:rFonts w:ascii="Noto Serif SC" w:cs="Noto Serif SC" w:eastAsia="Noto Serif SC" w:hAnsi="Noto Serif SC"/>
        </w:rPr>
        <w:t xml:space="preserve">In 1944 the National Dunhuang Art Institute was founded, with Chang Shuhong as its first director — Mogao at last had a dedicated protector. After the founding of New China, protection, reinforcement, copying, and digital research unfolded in turn. The painful modern chronicle of dispersal ultimately became the engine of later stewardship and restitution.</w:t>
      </w:r>
    </w:p>
    <w:p>
      <w:pPr>
        <w:pStyle w:val="Heading2"/>
        <w:spacing w:after="140" w:before="260"/>
      </w:pPr>
      <w:r>
        <w:rPr>
          <w:rFonts w:ascii="Noto Serif SC" w:cs="Noto Serif SC" w:eastAsia="Noto Serif SC" w:hAnsi="Noto Serif SC"/>
          <w:b/>
          <w:bCs/>
          <w:color w:val="5a4a30"/>
          <w:sz w:val="28"/>
          <w:szCs w:val="28"/>
        </w:rPr>
        <w:t xml:space="preserve">Key Concepts</w:t>
      </w:r>
    </w:p>
    <w:p>
      <w:pPr>
        <w:pStyle w:val="ListParagraph"/>
        <w:numPr>
          <w:ilvl w:val="0"/>
          <w:numId w:val="2"/>
        </w:numPr>
        <w:spacing w:after="80"/>
      </w:pPr>
      <w:r>
        <w:rPr>
          <w:rFonts w:ascii="Noto Serif SC" w:cs="Noto Serif SC" w:eastAsia="Noto Serif SC" w:hAnsi="Noto Serif SC"/>
          <w:sz w:val="22"/>
          <w:szCs w:val="22"/>
        </w:rPr>
        <w:t xml:space="preserve">Aurel Stein</w:t>
      </w:r>
    </w:p>
    <w:p>
      <w:pPr>
        <w:pStyle w:val="ListParagraph"/>
        <w:numPr>
          <w:ilvl w:val="0"/>
          <w:numId w:val="2"/>
        </w:numPr>
        <w:spacing w:after="80"/>
      </w:pPr>
      <w:r>
        <w:rPr>
          <w:rFonts w:ascii="Noto Serif SC" w:cs="Noto Serif SC" w:eastAsia="Noto Serif SC" w:hAnsi="Noto Serif SC"/>
          <w:sz w:val="22"/>
          <w:szCs w:val="22"/>
        </w:rPr>
        <w:t xml:space="preserve">Paul Pelliot</w:t>
      </w:r>
    </w:p>
    <w:p>
      <w:pPr>
        <w:pStyle w:val="ListParagraph"/>
        <w:numPr>
          <w:ilvl w:val="0"/>
          <w:numId w:val="2"/>
        </w:numPr>
        <w:spacing w:after="80"/>
      </w:pPr>
      <w:r>
        <w:rPr>
          <w:rFonts w:ascii="Noto Serif SC" w:cs="Noto Serif SC" w:eastAsia="Noto Serif SC" w:hAnsi="Noto Serif SC"/>
          <w:sz w:val="22"/>
          <w:szCs w:val="22"/>
        </w:rPr>
        <w:t xml:space="preserve">Dispersal</w:t>
      </w:r>
    </w:p>
    <w:p>
      <w:pPr>
        <w:pStyle w:val="ListParagraph"/>
        <w:numPr>
          <w:ilvl w:val="0"/>
          <w:numId w:val="2"/>
        </w:numPr>
        <w:spacing w:after="80"/>
      </w:pPr>
      <w:r>
        <w:rPr>
          <w:rFonts w:ascii="Noto Serif SC" w:cs="Noto Serif SC" w:eastAsia="Noto Serif SC" w:hAnsi="Noto Serif SC"/>
          <w:sz w:val="22"/>
          <w:szCs w:val="22"/>
        </w:rPr>
        <w:t xml:space="preserve">Painful Chronicle of Dunhuang</w:t>
      </w:r>
    </w:p>
    <w:p>
      <w:pPr>
        <w:pStyle w:val="ListParagraph"/>
        <w:numPr>
          <w:ilvl w:val="0"/>
          <w:numId w:val="2"/>
        </w:numPr>
        <w:spacing w:after="80"/>
      </w:pPr>
      <w:r>
        <w:rPr>
          <w:rFonts w:ascii="Noto Serif SC" w:cs="Noto Serif SC" w:eastAsia="Noto Serif SC" w:hAnsi="Noto Serif SC"/>
          <w:sz w:val="22"/>
          <w:szCs w:val="22"/>
        </w:rPr>
        <w:t xml:space="preserve">National Dunhuang Art Institute</w:t>
      </w:r>
    </w:p>
    <w:p>
      <w:pPr>
        <w:pStyle w:val="Heading2"/>
        <w:spacing w:after="140" w:before="260"/>
      </w:pPr>
      <w:r>
        <w:rPr>
          <w:rFonts w:ascii="Noto Serif SC" w:cs="Noto Serif SC" w:eastAsia="Noto Serif SC" w:hAnsi="Noto Serif SC"/>
          <w:b/>
          <w:bCs/>
          <w:color w:val="5a4a30"/>
          <w:sz w:val="28"/>
          <w:szCs w:val="28"/>
        </w:rPr>
        <w:t xml:space="preserve">Related Digital Relics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3600"/>
        <w:gridCol w:w="1800"/>
        <w:gridCol w:w="2760"/>
      </w:tblGrid>
      <w:tr>
        <w:trPr>
          <w:tblHeader/>
        </w:trPr>
        <w:tc>
          <w:tcPr>
            <w:tcW w:type="dxa" w:w="120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No.</w:t>
            </w:r>
          </w:p>
        </w:tc>
        <w:tc>
          <w:tcPr>
            <w:tcW w:type="dxa" w:w="360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Name</w:t>
            </w:r>
          </w:p>
        </w:tc>
        <w:tc>
          <w:tcPr>
            <w:tcW w:type="dxa" w:w="180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Dating</w:t>
            </w:r>
          </w:p>
        </w:tc>
        <w:tc>
          <w:tcPr>
            <w:tcW w:type="dxa" w:w="276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Material / Find site</w:t>
            </w:r>
          </w:p>
        </w:tc>
      </w:tr>
      <w:tr>
        <w:tc>
          <w:tcPr>
            <w:tcW w:type="dxa" w:w="12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29</w:t>
            </w:r>
          </w:p>
        </w:tc>
        <w:tc>
          <w:tcPr>
            <w:tcW w:type="dxa" w:w="36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Sutra-Illustration Woodblock Print</w:t>
            </w:r>
          </w:p>
        </w:tc>
        <w:tc>
          <w:tcPr>
            <w:tcW w:type="dxa" w:w="18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Tang–Song</w:t>
            </w:r>
          </w:p>
        </w:tc>
        <w:tc>
          <w:tcPr>
            <w:tcW w:type="dxa" w:w="276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Paper · ink / Library Cave</w:t>
            </w:r>
          </w:p>
        </w:tc>
      </w:tr>
      <w:tr>
        <w:tc>
          <w:tcPr>
            <w:tcW w:type="dxa" w:w="12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34</w:t>
            </w:r>
          </w:p>
        </w:tc>
        <w:tc>
          <w:tcPr>
            <w:tcW w:type="dxa" w:w="36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Hemp-Cloth Buddha-Preaching Painting</w:t>
            </w:r>
          </w:p>
        </w:tc>
        <w:tc>
          <w:tcPr>
            <w:tcW w:type="dxa" w:w="18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Tang</w:t>
            </w:r>
          </w:p>
        </w:tc>
        <w:tc>
          <w:tcPr>
            <w:tcW w:type="dxa" w:w="276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Hemp cloth · pigment / Library Cave</w:t>
            </w:r>
          </w:p>
        </w:tc>
      </w:tr>
    </w:tbl>
    <w:p>
      <w:pPr>
        <w:spacing w:before="120"/>
      </w:pPr>
      <w:r>
        <w:rPr>
          <w:rFonts w:ascii="Noto Serif SC" w:cs="Noto Serif SC" w:eastAsia="Noto Serif SC" w:hAnsi="Noto Serif SC"/>
          <w:i/>
          <w:iCs/>
          <w:color w:val="8a7330"/>
          <w:sz w:val="18"/>
          <w:szCs w:val="18"/>
        </w:rPr>
        <w:t xml:space="preserve">Narration script: When the Library Cave opened, the Qing court, mired in turmo… (full narration available on the chapter-detail page)</w:t>
      </w:r>
    </w:p>
    <w:p>
      <w:r>
        <w:br w:type="page"/>
      </w:r>
    </w:p>
    <w:p>
      <w:pPr>
        <w:pStyle w:val="Heading1"/>
        <w:spacing w:after="200" w:before="360"/>
      </w:pPr>
      <w:r>
        <w:rPr>
          <w:rFonts w:ascii="Noto Serif SC" w:cs="Noto Serif SC" w:eastAsia="Noto Serif SC" w:hAnsi="Noto Serif SC"/>
          <w:b/>
          <w:bCs/>
          <w:color w:val="9c5a3c"/>
          <w:sz w:val="36"/>
          <w:szCs w:val="36"/>
        </w:rPr>
        <w:t xml:space="preserve">Chapter VIII   Contemporary Digitization</w:t>
      </w:r>
    </w:p>
    <w:p>
      <w:pPr>
        <w:spacing w:after="200"/>
      </w:pPr>
      <w:r>
        <w:rPr>
          <w:rFonts w:ascii="Noto Serif SC" w:cs="Noto Serif SC" w:eastAsia="Noto Serif SC" w:hAnsi="Noto Serif SC"/>
          <w:b/>
          <w:bCs/>
          <w:color w:val="9c5a3c"/>
          <w:sz w:val="24"/>
          <w:szCs w:val="24"/>
        </w:rPr>
        <w:t xml:space="preserve">Contemporary · 1944–present   ·   Digital Immortality, Dunhuang in the Cloud</w:t>
      </w:r>
    </w:p>
    <w:p>
      <w:pPr>
        <w:pStyle w:val="Heading2"/>
        <w:spacing w:after="140" w:before="260"/>
      </w:pPr>
      <w:r>
        <w:rPr>
          <w:rFonts w:ascii="Noto Serif SC" w:cs="Noto Serif SC" w:eastAsia="Noto Serif SC" w:hAnsi="Noto Serif SC"/>
          <w:b/>
          <w:bCs/>
          <w:color w:val="5a4a30"/>
          <w:sz w:val="28"/>
          <w:szCs w:val="28"/>
        </w:rPr>
        <w:t xml:space="preserve">Overview</w:t>
      </w:r>
    </w:p>
    <w:p>
      <w:pPr>
        <w:spacing w:after="160" w:line="360"/>
      </w:pPr>
      <w:r>
        <w:rPr>
          <w:rFonts w:ascii="Noto Serif SC" w:cs="Noto Serif SC" w:eastAsia="Noto Serif SC" w:hAnsi="Noto Serif SC"/>
        </w:rPr>
        <w:t xml:space="preserve">From emergency reinforcement to the "Digital Dunhuang" project, the present age uses high-resolution capture, virtual restoration, and global sharing to grant the millennium-old murals immortality in the cloud, opening a new era of cultural-heritage protection.</w:t>
      </w:r>
    </w:p>
    <w:p>
      <w:pPr>
        <w:pStyle w:val="Heading2"/>
        <w:spacing w:after="140" w:before="260"/>
      </w:pPr>
      <w:r>
        <w:rPr>
          <w:rFonts w:ascii="Noto Serif SC" w:cs="Noto Serif SC" w:eastAsia="Noto Serif SC" w:hAnsi="Noto Serif SC"/>
          <w:b/>
          <w:bCs/>
          <w:color w:val="5a4a30"/>
          <w:sz w:val="28"/>
          <w:szCs w:val="28"/>
        </w:rPr>
        <w:t xml:space="preserve">From Rescue to a Scientific Protection System</w:t>
      </w:r>
    </w:p>
    <w:p>
      <w:pPr>
        <w:spacing w:after="160" w:line="360"/>
      </w:pPr>
      <w:r>
        <w:rPr>
          <w:rFonts w:ascii="Noto Serif SC" w:cs="Noto Serif SC" w:eastAsia="Noto Serif SC" w:hAnsi="Noto Serif SC"/>
        </w:rPr>
        <w:t xml:space="preserve">After the National Dunhuang Art Institute was founded in 1944, work passed through stages of cliff reinforcement, statue and mural copying, and environmental monitoring. In 1987 Mogao was inscribed as a World Heritage site, and protection became scientific: micro-environment monitoring of caves, sandstorm prevention, and visitor-capacity studies let this fragile heritage race against time.</w:t>
      </w:r>
    </w:p>
    <w:p>
      <w:pPr>
        <w:pStyle w:val="Heading2"/>
        <w:spacing w:after="140" w:before="260"/>
      </w:pPr>
      <w:r>
        <w:rPr>
          <w:rFonts w:ascii="Noto Serif SC" w:cs="Noto Serif SC" w:eastAsia="Noto Serif SC" w:hAnsi="Noto Serif SC"/>
          <w:b/>
          <w:bCs/>
          <w:color w:val="5a4a30"/>
          <w:sz w:val="28"/>
          <w:szCs w:val="28"/>
        </w:rPr>
        <w:t xml:space="preserve">Digital Dunhuang: Another Kind of Immortality</w:t>
      </w:r>
    </w:p>
    <w:p>
      <w:pPr>
        <w:spacing w:after="160" w:line="360"/>
      </w:pPr>
      <w:r>
        <w:rPr>
          <w:rFonts w:ascii="Noto Serif SC" w:cs="Noto Serif SC" w:eastAsia="Noto Serif SC" w:hAnsi="Noto Serif SC"/>
        </w:rPr>
        <w:t xml:space="preserve">Faced with pigment flaking, salt efflorescence, and the pressure of visitors, the Dunhuang Academy launched the "Digital Dunhuang" project at the end of the last century, capturing all cave murals and statues at millimeter-level high resolution and building the world's largest digital repository of grotto art. Digital caves can be preserved forever and shared globally — for scholars and the public alike — without touching the originals, and faded murals can be virtually restored.</w:t>
      </w:r>
    </w:p>
    <w:p>
      <w:pPr>
        <w:pStyle w:val="Heading2"/>
        <w:spacing w:after="140" w:before="260"/>
      </w:pPr>
      <w:r>
        <w:rPr>
          <w:rFonts w:ascii="Noto Serif SC" w:cs="Noto Serif SC" w:eastAsia="Noto Serif SC" w:hAnsi="Noto Serif SC"/>
          <w:b/>
          <w:bCs/>
          <w:color w:val="5a4a30"/>
          <w:sz w:val="28"/>
          <w:szCs w:val="28"/>
        </w:rPr>
        <w:t xml:space="preserve">Dunhuang in the Cloud and Public Education</w:t>
      </w:r>
    </w:p>
    <w:p>
      <w:pPr>
        <w:spacing w:after="160" w:line="360"/>
      </w:pPr>
      <w:r>
        <w:rPr>
          <w:rFonts w:ascii="Noto Serif SC" w:cs="Noto Serif SC" w:eastAsia="Noto Serif SC" w:hAnsi="Noto Serif SC"/>
        </w:rPr>
        <w:t xml:space="preserve">The digital output now reaches the public through the Digital Dunhuang resource library, online exhibitions, VR experiences, and portals like this course. Caves once open only to a few practitioners and scholars now open in the cloud to every seeker. Technology and art, protection and sharing, fulfill in the present the most solemn promise to this heritage.</w:t>
      </w:r>
    </w:p>
    <w:p>
      <w:pPr>
        <w:pStyle w:val="Heading2"/>
        <w:spacing w:after="140" w:before="260"/>
      </w:pPr>
      <w:r>
        <w:rPr>
          <w:rFonts w:ascii="Noto Serif SC" w:cs="Noto Serif SC" w:eastAsia="Noto Serif SC" w:hAnsi="Noto Serif SC"/>
          <w:b/>
          <w:bCs/>
          <w:color w:val="5a4a30"/>
          <w:sz w:val="28"/>
          <w:szCs w:val="28"/>
        </w:rPr>
        <w:t xml:space="preserve">Key Concepts</w:t>
      </w:r>
    </w:p>
    <w:p>
      <w:pPr>
        <w:pStyle w:val="ListParagraph"/>
        <w:numPr>
          <w:ilvl w:val="0"/>
          <w:numId w:val="2"/>
        </w:numPr>
        <w:spacing w:after="80"/>
      </w:pPr>
      <w:r>
        <w:rPr>
          <w:rFonts w:ascii="Noto Serif SC" w:cs="Noto Serif SC" w:eastAsia="Noto Serif SC" w:hAnsi="Noto Serif SC"/>
          <w:sz w:val="22"/>
          <w:szCs w:val="22"/>
        </w:rPr>
        <w:t xml:space="preserve">Digital Dunhuang</w:t>
      </w:r>
    </w:p>
    <w:p>
      <w:pPr>
        <w:pStyle w:val="ListParagraph"/>
        <w:numPr>
          <w:ilvl w:val="0"/>
          <w:numId w:val="2"/>
        </w:numPr>
        <w:spacing w:after="80"/>
      </w:pPr>
      <w:r>
        <w:rPr>
          <w:rFonts w:ascii="Noto Serif SC" w:cs="Noto Serif SC" w:eastAsia="Noto Serif SC" w:hAnsi="Noto Serif SC"/>
          <w:sz w:val="22"/>
          <w:szCs w:val="22"/>
        </w:rPr>
        <w:t xml:space="preserve">High-Resolution Capture</w:t>
      </w:r>
    </w:p>
    <w:p>
      <w:pPr>
        <w:pStyle w:val="ListParagraph"/>
        <w:numPr>
          <w:ilvl w:val="0"/>
          <w:numId w:val="2"/>
        </w:numPr>
        <w:spacing w:after="80"/>
      </w:pPr>
      <w:r>
        <w:rPr>
          <w:rFonts w:ascii="Noto Serif SC" w:cs="Noto Serif SC" w:eastAsia="Noto Serif SC" w:hAnsi="Noto Serif SC"/>
          <w:sz w:val="22"/>
          <w:szCs w:val="22"/>
        </w:rPr>
        <w:t xml:space="preserve">Virtual Restoration</w:t>
      </w:r>
    </w:p>
    <w:p>
      <w:pPr>
        <w:pStyle w:val="ListParagraph"/>
        <w:numPr>
          <w:ilvl w:val="0"/>
          <w:numId w:val="2"/>
        </w:numPr>
        <w:spacing w:after="80"/>
      </w:pPr>
      <w:r>
        <w:rPr>
          <w:rFonts w:ascii="Noto Serif SC" w:cs="Noto Serif SC" w:eastAsia="Noto Serif SC" w:hAnsi="Noto Serif SC"/>
          <w:sz w:val="22"/>
          <w:szCs w:val="22"/>
        </w:rPr>
        <w:t xml:space="preserve">Disease Control</w:t>
      </w:r>
    </w:p>
    <w:p>
      <w:pPr>
        <w:pStyle w:val="ListParagraph"/>
        <w:numPr>
          <w:ilvl w:val="0"/>
          <w:numId w:val="2"/>
        </w:numPr>
        <w:spacing w:after="80"/>
      </w:pPr>
      <w:r>
        <w:rPr>
          <w:rFonts w:ascii="Noto Serif SC" w:cs="Noto Serif SC" w:eastAsia="Noto Serif SC" w:hAnsi="Noto Serif SC"/>
          <w:sz w:val="22"/>
          <w:szCs w:val="22"/>
        </w:rPr>
        <w:t xml:space="preserve">Cloud Sharing</w:t>
      </w:r>
    </w:p>
    <w:p>
      <w:pPr>
        <w:pStyle w:val="Heading2"/>
        <w:spacing w:after="140" w:before="260"/>
      </w:pPr>
      <w:r>
        <w:rPr>
          <w:rFonts w:ascii="Noto Serif SC" w:cs="Noto Serif SC" w:eastAsia="Noto Serif SC" w:hAnsi="Noto Serif SC"/>
          <w:b/>
          <w:bCs/>
          <w:color w:val="5a4a30"/>
          <w:sz w:val="28"/>
          <w:szCs w:val="28"/>
        </w:rPr>
        <w:t xml:space="preserve">Related Digital Relics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3600"/>
        <w:gridCol w:w="1800"/>
        <w:gridCol w:w="2760"/>
      </w:tblGrid>
      <w:tr>
        <w:trPr>
          <w:tblHeader/>
        </w:trPr>
        <w:tc>
          <w:tcPr>
            <w:tcW w:type="dxa" w:w="120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No.</w:t>
            </w:r>
          </w:p>
        </w:tc>
        <w:tc>
          <w:tcPr>
            <w:tcW w:type="dxa" w:w="360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Name</w:t>
            </w:r>
          </w:p>
        </w:tc>
        <w:tc>
          <w:tcPr>
            <w:tcW w:type="dxa" w:w="180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Dating</w:t>
            </w:r>
          </w:p>
        </w:tc>
        <w:tc>
          <w:tcPr>
            <w:tcW w:type="dxa" w:w="2760"/>
            <w:tcBorders>
              <w:top w:val="single" w:color="C9A44C" w:sz="1"/>
              <w:left w:val="single" w:color="C9A44C" w:sz="1"/>
              <w:bottom w:val="single" w:color="C9A44C" w:sz="1"/>
              <w:right w:val="single" w:color="C9A44C" w:sz="1"/>
            </w:tcBorders>
            <w:shd w:fill="2a2018" w:val="clear"/>
            <w:tcMar>
              <w:top w:type="dxa" w:w="100"/>
              <w:left w:type="dxa" w:w="120"/>
              <w:bottom w:type="dxa" w:w="100"/>
              <w:right w:type="dxa" w:w="120"/>
            </w:tcMar>
          </w:tcPr>
          <w:p>
            <w:r>
              <w:rPr>
                <w:rFonts w:ascii="Noto Serif SC" w:cs="Noto Serif SC" w:eastAsia="Noto Serif SC" w:hAnsi="Noto Serif SC"/>
                <w:b/>
                <w:bCs/>
                <w:color w:val="efe6d2"/>
                <w:sz w:val="20"/>
                <w:szCs w:val="20"/>
              </w:rPr>
              <w:t xml:space="preserve">Material / Find site</w:t>
            </w:r>
          </w:p>
        </w:tc>
      </w:tr>
      <w:tr>
        <w:tc>
          <w:tcPr>
            <w:tcW w:type="dxa" w:w="12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16</w:t>
            </w:r>
          </w:p>
        </w:tc>
        <w:tc>
          <w:tcPr>
            <w:tcW w:type="dxa" w:w="36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Silk Star Chart</w:t>
            </w:r>
          </w:p>
        </w:tc>
        <w:tc>
          <w:tcPr>
            <w:tcW w:type="dxa" w:w="18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Tang</w:t>
            </w:r>
          </w:p>
        </w:tc>
        <w:tc>
          <w:tcPr>
            <w:tcW w:type="dxa" w:w="276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Silk, color / Library Cave</w:t>
            </w:r>
          </w:p>
        </w:tc>
      </w:tr>
      <w:tr>
        <w:tc>
          <w:tcPr>
            <w:tcW w:type="dxa" w:w="12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30</w:t>
            </w:r>
          </w:p>
        </w:tc>
        <w:tc>
          <w:tcPr>
            <w:tcW w:type="dxa" w:w="36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Beast-and-Grape Bronze Mirror</w:t>
            </w:r>
          </w:p>
        </w:tc>
        <w:tc>
          <w:tcPr>
            <w:tcW w:type="dxa" w:w="180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Tang</w:t>
            </w:r>
          </w:p>
        </w:tc>
        <w:tc>
          <w:tcPr>
            <w:tcW w:type="dxa" w:w="2760"/>
            <w:tcBorders>
              <w:top w:val="single" w:color="C9A44C" w:sz="1"/>
              <w:left w:val="single" w:color="C9A44C" w:sz="1"/>
              <w:bottom w:val="single" w:color="C9A44C" w:sz="1"/>
              <w:right w:val="single" w:color="C9A44C" w:sz="1"/>
            </w:tcBorders>
            <w:tcMar>
              <w:top w:type="dxa" w:w="100"/>
              <w:left w:type="dxa" w:w="120"/>
              <w:bottom w:type="dxa" w:w="100"/>
              <w:right w:type="dxa" w:w="120"/>
            </w:tcMar>
          </w:tcPr>
          <w:p>
            <w:r>
              <w:rPr>
                <w:rFonts w:ascii="Noto Serif SC" w:cs="Noto Serif SC" w:eastAsia="Noto Serif SC" w:hAnsi="Noto Serif SC"/>
                <w:b w:val="false"/>
                <w:bCs w:val="false"/>
                <w:color w:val="2a2018"/>
                <w:sz w:val="20"/>
                <w:szCs w:val="20"/>
              </w:rPr>
              <w:t xml:space="preserve">Bronze / Excavated, Dunhuang</w:t>
            </w:r>
          </w:p>
        </w:tc>
      </w:tr>
    </w:tbl>
    <w:p>
      <w:pPr>
        <w:spacing w:before="120"/>
      </w:pPr>
      <w:r>
        <w:rPr>
          <w:rFonts w:ascii="Noto Serif SC" w:cs="Noto Serif SC" w:eastAsia="Noto Serif SC" w:hAnsi="Noto Serif SC"/>
          <w:i/>
          <w:iCs/>
          <w:color w:val="8a7330"/>
          <w:sz w:val="18"/>
          <w:szCs w:val="18"/>
        </w:rPr>
        <w:t xml:space="preserve">Narration script: In 1944 the National Dunhuang Art Institute was founded, wit… (full narration available on the chapter-detail page)</w:t>
      </w:r>
    </w:p>
    <w:p>
      <w:r>
        <w:br w:type="page"/>
      </w:r>
    </w:p>
    <w:p>
      <w:pPr>
        <w:pStyle w:val="Heading1"/>
        <w:spacing w:after="200" w:before="360"/>
      </w:pPr>
      <w:r>
        <w:rPr>
          <w:rFonts w:ascii="Noto Serif SC" w:cs="Noto Serif SC" w:eastAsia="Noto Serif SC" w:hAnsi="Noto Serif SC"/>
          <w:b/>
          <w:bCs/>
          <w:color w:val="9c5a3c"/>
          <w:sz w:val="36"/>
          <w:szCs w:val="36"/>
        </w:rPr>
        <w:t xml:space="preserve">Conclusion   From Stewardship to Immortality</w:t>
      </w:r>
    </w:p>
    <w:p>
      <w:pPr>
        <w:spacing w:after="160" w:line="360"/>
      </w:pPr>
      <w:r>
        <w:rPr>
          <w:rFonts w:ascii="Noto Serif SC" w:cs="Noto Serif SC" w:eastAsia="Noto Serif SC" w:hAnsi="Noto Serif SC"/>
        </w:rPr>
        <w:t xml:space="preserve">From Zhang Qian's Piercing to Le Zun's first cave, from the High Tang sutra-tableaux to the sealing of the Library Cave, from the painful chronicle of modern dispersal to the digital immortality of today — Dunhuang's two millennia are a history of civilizational dialogue written in pigment, clay, and manuscript. What it teaches us is more than art appreciation; it is a view of civilization: plurality need not dissolve into uniformity, and difference is the very source of creation.</w:t>
      </w:r>
    </w:p>
    <w:p>
      <w:pPr>
        <w:spacing w:after="160" w:line="360"/>
      </w:pPr>
      <w:r>
        <w:rPr>
          <w:rFonts w:ascii="Noto Serif SC" w:cs="Noto Serif SC" w:eastAsia="Noto Serif SC" w:hAnsi="Noto Serif SC"/>
        </w:rPr>
        <w:t xml:space="preserve">May the reader, on closing this lecture, still hear the camel bells of the Silk Road and see the sleeves of the flying apsaras. Behind every inch of mural is the lifelong devotion of an unnamed painter; within every sutra scroll lies an era's pursuit of truth. Stewardship and transmission are our most solemn promise to this heritage.</w:t>
      </w:r>
    </w:p>
    <w:p>
      <w:pPr>
        <w:spacing w:after="200" w:before="120"/>
        <w:ind w:left="480" w:right="480"/>
      </w:pPr>
      <w:r>
        <w:rPr>
          <w:rFonts w:ascii="Noto Serif SC" w:cs="Noto Serif SC" w:eastAsia="Noto Serif SC" w:hAnsi="Noto Serif SC"/>
          <w:i/>
          <w:iCs/>
          <w:color w:val="6b5a3a"/>
          <w:sz w:val="22"/>
          <w:szCs w:val="22"/>
        </w:rPr>
        <w:t xml:space="preserve">"Technology and art, protection and sharing, fulfill in the present the most solemn promise to this heritage."</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Noto Serif SC" w:cs="Noto Serif SC" w:eastAsia="Noto Serif SC" w:hAnsi="Noto Serif SC"/>
        <w:color w:val="8a7330"/>
        <w:sz w:val="16"/>
        <w:szCs w:val="16"/>
      </w:rPr>
      <w:t xml:space="preserve">— </w:t>
    </w:r>
    <w:r>
      <w:rPr>
        <w:rFonts w:ascii="Noto Serif SC" w:cs="Noto Serif SC" w:eastAsia="Noto Serif SC" w:hAnsi="Noto Serif SC"/>
        <w:color w:val="8a7330"/>
        <w:sz w:val="16"/>
        <w:szCs w:val="16"/>
      </w:rPr>
      <w:fldChar w:fldCharType="begin"/>
      <w:instrText xml:space="preserve">PAGE</w:instrText>
      <w:fldChar w:fldCharType="separate"/>
      <w:fldChar w:fldCharType="end"/>
    </w:r>
    <w:r>
      <w:rPr>
        <w:rFonts w:ascii="Noto Serif SC" w:cs="Noto Serif SC" w:eastAsia="Noto Serif SC" w:hAnsi="Noto Serif SC"/>
        <w:color w:val="8a7330"/>
        <w:sz w:val="16"/>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Noto Serif SC" w:cs="Noto Serif SC" w:eastAsia="Noto Serif SC" w:hAnsi="Noto Serif SC"/>
        <w:color w:val="9c5a3c"/>
        <w:sz w:val="16"/>
        <w:szCs w:val="16"/>
      </w:rPr>
      <w:t xml:space="preserve">Dunhuang Art — In-Depth Lecture · General Education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erif SC" w:cs="Noto Serif SC" w:eastAsia="Noto Serif SC" w:hAnsi="Noto Serif SC"/>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outlineLvl w:val="0"/>
    </w:pPr>
    <w:rPr>
      <w:rFonts w:ascii="Noto Serif SC" w:cs="Noto Serif SC" w:eastAsia="Noto Serif SC" w:hAnsi="Noto Serif SC"/>
      <w:b/>
      <w:bCs/>
      <w:color w:val="9c5a3c"/>
      <w:sz w:val="36"/>
      <w:szCs w:val="36"/>
    </w:rPr>
  </w:style>
  <w:style w:type="paragraph" w:styleId="Heading2">
    <w:name w:val="Heading 2"/>
    <w:basedOn w:val="Normal"/>
    <w:next w:val="Normal"/>
    <w:qFormat/>
    <w:pPr>
      <w:spacing w:after="140" w:before="260"/>
      <w:outlineLvl w:val="1"/>
    </w:pPr>
    <w:rPr>
      <w:rFonts w:ascii="Noto Serif SC" w:cs="Noto Serif SC" w:eastAsia="Noto Serif SC" w:hAnsi="Noto Serif SC"/>
      <w:b/>
      <w:bCs/>
      <w:color w:val="5a4a30"/>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f5f0bbb79d0144080fd2f2f6f5ca941e632eeede.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2026-08-11T03:03:45.059Z</dcterms:created>
  <dcterms:modified xsi:type="dcterms:W3CDTF">2026-08-11T03:03:45.060Z</dcterms:modified>
</cp:coreProperties>
</file>

<file path=docProps/custom.xml><?xml version="1.0" encoding="utf-8"?>
<Properties xmlns="http://schemas.openxmlformats.org/officeDocument/2006/custom-properties" xmlns:vt="http://schemas.openxmlformats.org/officeDocument/2006/docPropsVTypes"/>
</file>